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93"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KAYSERİ ÜNİVERSİTESİ</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DIŞ İLİŞKİLER OFİSİ</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ERASMUS KOORDİNATÖRLÜĞÜ</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ERASMUS+ PERSONEL EĞİTİM ALMA HAREKETLİLİĞİ</w:t>
      </w:r>
    </w:p>
    <w:p w:rsidR="00493636" w:rsidRPr="00CE6E90" w:rsidRDefault="00493636"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eğitim alma hareketliliği Türkiye’de ECHE sahibi bir yükseköğretim kurumunda istihdam edilmiş </w:t>
      </w:r>
      <w:r w:rsidR="000F35B2">
        <w:rPr>
          <w:rFonts w:ascii="Times New Roman" w:hAnsi="Times New Roman" w:cs="Times New Roman"/>
          <w:sz w:val="24"/>
          <w:szCs w:val="24"/>
          <w:lang w:val="tr-TR"/>
        </w:rPr>
        <w:t>akademik personel</w:t>
      </w:r>
      <w:r w:rsidRPr="00CE6E90">
        <w:rPr>
          <w:rFonts w:ascii="Times New Roman" w:hAnsi="Times New Roman" w:cs="Times New Roman"/>
          <w:sz w:val="24"/>
          <w:szCs w:val="24"/>
          <w:lang w:val="tr-TR"/>
        </w:rPr>
        <w:t xml:space="preserve"> başvuruları değerlendirilecektir.</w:t>
      </w:r>
      <w:r w:rsidR="000F35B2">
        <w:rPr>
          <w:rFonts w:ascii="Times New Roman" w:hAnsi="Times New Roman" w:cs="Times New Roman"/>
          <w:sz w:val="24"/>
          <w:szCs w:val="24"/>
          <w:lang w:val="tr-TR"/>
        </w:rPr>
        <w:t xml:space="preserve"> </w:t>
      </w:r>
    </w:p>
    <w:p w:rsidR="00493636" w:rsidRPr="00CE6E90" w:rsidRDefault="00493636"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Geçerli Anlaşmalar ve Kontenjan Sayısı</w:t>
      </w:r>
    </w:p>
    <w:p w:rsidR="00601A36" w:rsidRPr="00CE6E90" w:rsidRDefault="00601A36"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Kayseri</w:t>
      </w:r>
      <w:r w:rsidR="00493636" w:rsidRPr="00CE6E90">
        <w:rPr>
          <w:rFonts w:ascii="Times New Roman" w:hAnsi="Times New Roman" w:cs="Times New Roman"/>
          <w:sz w:val="24"/>
          <w:szCs w:val="24"/>
          <w:lang w:val="tr-TR"/>
        </w:rPr>
        <w:t xml:space="preserve"> Üniversitesi Erasmus+ kapsamında personel değişimi için anlaşmalar yapmaktadır. Karşı kurumlarla görüşülerek ortak faaliyet alanları çerçevesinde kontenjanlar belirlenmiştir. </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Eğitim Alma Faaliyetinden anlaşması olmayan birimler</w:t>
      </w:r>
      <w:r w:rsidR="000F35B2">
        <w:rPr>
          <w:rFonts w:ascii="Times New Roman" w:hAnsi="Times New Roman" w:cs="Times New Roman"/>
          <w:sz w:val="24"/>
          <w:szCs w:val="24"/>
          <w:lang w:val="tr-TR"/>
        </w:rPr>
        <w:t xml:space="preserve"> </w:t>
      </w:r>
      <w:r w:rsidRPr="00CE6E90">
        <w:rPr>
          <w:rFonts w:ascii="Times New Roman" w:hAnsi="Times New Roman" w:cs="Times New Roman"/>
          <w:sz w:val="24"/>
          <w:szCs w:val="24"/>
          <w:lang w:val="tr-TR"/>
        </w:rPr>
        <w:t>de faydalanabilir. Anlaşması olmayan birimlerden başvuru yapacak olan adaylar, başvuru dosyalarına karşı kurumdan aldıkları davet mektuplarını eklemek zorundadırlar. Aksi takdirde başvuruları geçersiz sayılacaktır.</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Eğitim Alma Hareketliliğine Kimler Katılabilir?</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Kayseri</w:t>
      </w:r>
      <w:r w:rsidR="00CE6E90">
        <w:rPr>
          <w:rFonts w:ascii="Times New Roman" w:hAnsi="Times New Roman" w:cs="Times New Roman"/>
          <w:sz w:val="24"/>
          <w:szCs w:val="24"/>
          <w:lang w:val="tr-TR"/>
        </w:rPr>
        <w:t xml:space="preserve"> Üniversitesinde tam</w:t>
      </w:r>
      <w:r w:rsidRPr="00CE6E90">
        <w:rPr>
          <w:rFonts w:ascii="Times New Roman" w:hAnsi="Times New Roman" w:cs="Times New Roman"/>
          <w:sz w:val="24"/>
          <w:szCs w:val="24"/>
          <w:lang w:val="tr-TR"/>
        </w:rPr>
        <w:t xml:space="preserve"> zamanlı olarak istihdam edilmiş, fiilen görev yapmakta olan </w:t>
      </w:r>
      <w:r w:rsidR="000F35B2">
        <w:rPr>
          <w:rFonts w:ascii="Times New Roman" w:hAnsi="Times New Roman" w:cs="Times New Roman"/>
          <w:sz w:val="24"/>
          <w:szCs w:val="24"/>
          <w:lang w:val="tr-TR"/>
        </w:rPr>
        <w:t xml:space="preserve">akademik </w:t>
      </w:r>
      <w:r w:rsidRPr="00CE6E90">
        <w:rPr>
          <w:rFonts w:ascii="Times New Roman" w:hAnsi="Times New Roman" w:cs="Times New Roman"/>
          <w:sz w:val="24"/>
          <w:szCs w:val="24"/>
          <w:lang w:val="tr-TR"/>
        </w:rPr>
        <w:t xml:space="preserve">personel Eğitim Alma Hareketliliğinden faydalanabilir. </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Personel Eğitim Alma Hareketliliği için Asgarî ve Azamî Süreler</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eğitim alma hareketliliği için faaliyet süresi seyahat hariç en az 2 iş günü, en fazla 5 </w:t>
      </w:r>
      <w:r w:rsidR="00A721AC">
        <w:rPr>
          <w:rFonts w:ascii="Times New Roman" w:hAnsi="Times New Roman" w:cs="Times New Roman"/>
          <w:sz w:val="24"/>
          <w:szCs w:val="24"/>
          <w:lang w:val="tr-TR"/>
        </w:rPr>
        <w:t xml:space="preserve">iş </w:t>
      </w:r>
      <w:r w:rsidRPr="00CE6E90">
        <w:rPr>
          <w:rFonts w:ascii="Times New Roman" w:hAnsi="Times New Roman" w:cs="Times New Roman"/>
          <w:sz w:val="24"/>
          <w:szCs w:val="24"/>
          <w:lang w:val="tr-TR"/>
        </w:rPr>
        <w:t>gün</w:t>
      </w:r>
      <w:r w:rsidR="00A721AC">
        <w:rPr>
          <w:rFonts w:ascii="Times New Roman" w:hAnsi="Times New Roman" w:cs="Times New Roman"/>
          <w:sz w:val="24"/>
          <w:szCs w:val="24"/>
          <w:lang w:val="tr-TR"/>
        </w:rPr>
        <w:t>ü</w:t>
      </w:r>
      <w:r w:rsidRPr="00CE6E90">
        <w:rPr>
          <w:rFonts w:ascii="Times New Roman" w:hAnsi="Times New Roman" w:cs="Times New Roman"/>
          <w:sz w:val="24"/>
          <w:szCs w:val="24"/>
          <w:lang w:val="tr-TR"/>
        </w:rPr>
        <w:t xml:space="preserve"> olarak belirlenmiştir. Personel eğitim alma hareketliliğinde, katılım sertifikasında yararlanıcının 2 günden az süre ile faaliyet gerçekleştirdiğinin görüldüğü durumlarda, faaliyet geçersiz kabul edilir ve yararlanıcıya herhangi bir hibe ödemesi yapılmaz. </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Başvuru Sırasında Teslim Edilmesi Gereken Belgeler</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Başvuru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Formu</w:t>
      </w:r>
      <w:proofErr w:type="spellEnd"/>
      <w:r w:rsidRPr="00D5601B">
        <w:rPr>
          <w:rFonts w:ascii="Times New Roman" w:hAnsi="Times New Roman" w:cs="Times New Roman"/>
          <w:color w:val="000001"/>
          <w:sz w:val="24"/>
          <w:szCs w:val="24"/>
        </w:rPr>
        <w:t xml:space="preserve"> </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Eğitim</w:t>
      </w:r>
      <w:proofErr w:type="spellEnd"/>
      <w:r w:rsidRPr="00D5601B">
        <w:rPr>
          <w:rFonts w:ascii="Times New Roman" w:hAnsi="Times New Roman" w:cs="Times New Roman"/>
          <w:color w:val="000001"/>
          <w:sz w:val="24"/>
          <w:szCs w:val="24"/>
        </w:rPr>
        <w:t xml:space="preserve"> Alma </w:t>
      </w:r>
      <w:proofErr w:type="spellStart"/>
      <w:r w:rsidRPr="00D5601B">
        <w:rPr>
          <w:rFonts w:ascii="Times New Roman" w:hAnsi="Times New Roman" w:cs="Times New Roman"/>
          <w:color w:val="000001"/>
          <w:sz w:val="24"/>
          <w:szCs w:val="24"/>
        </w:rPr>
        <w:t>Puan</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Çizelgesi</w:t>
      </w:r>
      <w:proofErr w:type="spellEnd"/>
      <w:r w:rsidRPr="00D5601B">
        <w:rPr>
          <w:rFonts w:ascii="Times New Roman" w:hAnsi="Times New Roman" w:cs="Times New Roman"/>
          <w:color w:val="000001"/>
          <w:sz w:val="24"/>
          <w:szCs w:val="24"/>
        </w:rPr>
        <w:t xml:space="preserve"> </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Yabancı</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Dil</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Belgesi</w:t>
      </w:r>
      <w:proofErr w:type="spellEnd"/>
      <w:r w:rsidRPr="00D5601B">
        <w:rPr>
          <w:rFonts w:ascii="Times New Roman" w:hAnsi="Times New Roman" w:cs="Times New Roman"/>
          <w:color w:val="000001"/>
          <w:sz w:val="24"/>
          <w:szCs w:val="24"/>
        </w:rPr>
        <w:t xml:space="preserve"> (ÜDS, KPDS, YÖKDİL, YDS)</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Engellilik</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veya</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Şehit</w:t>
      </w:r>
      <w:proofErr w:type="spellEnd"/>
      <w:r w:rsidRPr="00D5601B">
        <w:rPr>
          <w:rFonts w:ascii="Times New Roman" w:hAnsi="Times New Roman" w:cs="Times New Roman"/>
          <w:color w:val="000001"/>
          <w:sz w:val="24"/>
          <w:szCs w:val="24"/>
        </w:rPr>
        <w:t>/</w:t>
      </w:r>
      <w:proofErr w:type="spellStart"/>
      <w:r w:rsidRPr="00D5601B">
        <w:rPr>
          <w:rFonts w:ascii="Times New Roman" w:hAnsi="Times New Roman" w:cs="Times New Roman"/>
          <w:color w:val="000001"/>
          <w:sz w:val="24"/>
          <w:szCs w:val="24"/>
        </w:rPr>
        <w:t>Gazi</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yakını</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belgesi</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varsa</w:t>
      </w:r>
      <w:proofErr w:type="spellEnd"/>
      <w:r w:rsidRPr="00D5601B">
        <w:rPr>
          <w:rFonts w:ascii="Times New Roman" w:hAnsi="Times New Roman" w:cs="Times New Roman"/>
          <w:color w:val="000001"/>
          <w:sz w:val="24"/>
          <w:szCs w:val="24"/>
        </w:rPr>
        <w:t>)</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Lisansüstü</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Eğitim</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Diploması</w:t>
      </w:r>
      <w:proofErr w:type="spellEnd"/>
      <w:r>
        <w:rPr>
          <w:rFonts w:ascii="Times New Roman" w:hAnsi="Times New Roman" w:cs="Times New Roman"/>
          <w:color w:val="000001"/>
          <w:sz w:val="24"/>
          <w:szCs w:val="24"/>
        </w:rPr>
        <w:t xml:space="preserve"> </w:t>
      </w:r>
      <w:r w:rsidRPr="00CE6E90">
        <w:rPr>
          <w:rFonts w:ascii="Times New Roman" w:hAnsi="Times New Roman" w:cs="Times New Roman"/>
          <w:sz w:val="24"/>
          <w:szCs w:val="24"/>
          <w:lang w:val="tr-TR"/>
        </w:rPr>
        <w:t>ya da Denklik Belgesi (Lisansüstü eğitimini yurtdışında ya da yabancı bir dilde eğitim veren kurumlarda tamamlayanlar için)</w:t>
      </w:r>
    </w:p>
    <w:p w:rsidR="00265AC4"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Davet</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Mektubu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Başvuru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esnasında</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Davet</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Mektubu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ibraz</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edilmelidir</w:t>
      </w:r>
      <w:proofErr w:type="spellEnd"/>
      <w:r w:rsidRPr="00D5601B">
        <w:rPr>
          <w:rFonts w:ascii="Times New Roman" w:hAnsi="Times New Roman" w:cs="Times New Roman"/>
          <w:color w:val="000001"/>
          <w:sz w:val="24"/>
          <w:szCs w:val="24"/>
        </w:rPr>
        <w:t>.)</w:t>
      </w:r>
    </w:p>
    <w:p w:rsidR="006768CA" w:rsidRDefault="006768CA" w:rsidP="008C276F">
      <w:pPr>
        <w:jc w:val="both"/>
        <w:rPr>
          <w:rFonts w:ascii="Times New Roman" w:hAnsi="Times New Roman" w:cs="Times New Roman"/>
          <w:sz w:val="24"/>
          <w:szCs w:val="24"/>
        </w:rPr>
      </w:pPr>
    </w:p>
    <w:p w:rsidR="00A65AD2" w:rsidRDefault="00A65AD2" w:rsidP="008C276F">
      <w:pPr>
        <w:jc w:val="both"/>
        <w:rPr>
          <w:rFonts w:ascii="Times New Roman" w:hAnsi="Times New Roman" w:cs="Times New Roman"/>
          <w:sz w:val="24"/>
        </w:rPr>
      </w:pPr>
      <w:bookmarkStart w:id="0" w:name="_GoBack"/>
      <w:bookmarkEnd w:id="0"/>
    </w:p>
    <w:p w:rsidR="00FC6592" w:rsidRDefault="00FC6592" w:rsidP="008C276F">
      <w:pPr>
        <w:jc w:val="both"/>
        <w:rPr>
          <w:rFonts w:ascii="Times New Roman" w:hAnsi="Times New Roman" w:cs="Times New Roman"/>
          <w:sz w:val="24"/>
        </w:rPr>
      </w:pPr>
    </w:p>
    <w:p w:rsidR="008C276F" w:rsidRDefault="008C276F" w:rsidP="008C276F">
      <w:pPr>
        <w:jc w:val="both"/>
        <w:rPr>
          <w:rFonts w:ascii="Times New Roman" w:hAnsi="Times New Roman" w:cs="Times New Roman"/>
          <w:sz w:val="24"/>
        </w:rPr>
      </w:pPr>
    </w:p>
    <w:p w:rsidR="008C276F" w:rsidRPr="008C276F" w:rsidRDefault="008C276F" w:rsidP="008C276F">
      <w:pPr>
        <w:jc w:val="both"/>
        <w:rPr>
          <w:rFonts w:ascii="Times New Roman" w:hAnsi="Times New Roman" w:cs="Times New Roman"/>
          <w:sz w:val="28"/>
          <w:szCs w:val="24"/>
          <w:lang w:val="tr-TR"/>
        </w:rPr>
      </w:pPr>
      <w:r w:rsidRPr="008C276F">
        <w:rPr>
          <w:rFonts w:ascii="Times New Roman" w:hAnsi="Times New Roman" w:cs="Times New Roman"/>
          <w:sz w:val="24"/>
        </w:rPr>
        <w:lastRenderedPageBreak/>
        <w:t xml:space="preserve">Erasmus+ </w:t>
      </w:r>
      <w:proofErr w:type="spellStart"/>
      <w:r w:rsidRPr="008C276F">
        <w:rPr>
          <w:rFonts w:ascii="Times New Roman" w:hAnsi="Times New Roman" w:cs="Times New Roman"/>
          <w:sz w:val="24"/>
        </w:rPr>
        <w:t>hareketlilik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programından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yararlanacak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w:t>
      </w:r>
      <w:proofErr w:type="spellEnd"/>
      <w:r w:rsidRPr="008C276F">
        <w:rPr>
          <w:rFonts w:ascii="Times New Roman" w:hAnsi="Times New Roman" w:cs="Times New Roman"/>
          <w:sz w:val="24"/>
        </w:rPr>
        <w:t xml:space="preserve">, 5 </w:t>
      </w:r>
      <w:proofErr w:type="spellStart"/>
      <w:r w:rsidRPr="008C276F">
        <w:rPr>
          <w:rFonts w:ascii="Times New Roman" w:hAnsi="Times New Roman" w:cs="Times New Roman"/>
          <w:sz w:val="24"/>
        </w:rPr>
        <w:t>günlük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hibe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miktarına</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ek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olarak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için</w:t>
      </w:r>
      <w:proofErr w:type="spellEnd"/>
      <w:r w:rsidRPr="008C276F">
        <w:rPr>
          <w:rFonts w:ascii="Times New Roman" w:hAnsi="Times New Roman" w:cs="Times New Roman"/>
          <w:sz w:val="24"/>
        </w:rPr>
        <w:t xml:space="preserve"> 2 </w:t>
      </w:r>
      <w:proofErr w:type="spellStart"/>
      <w:r w:rsidRPr="008C276F">
        <w:rPr>
          <w:rFonts w:ascii="Times New Roman" w:hAnsi="Times New Roman" w:cs="Times New Roman"/>
          <w:sz w:val="24"/>
        </w:rPr>
        <w:t>günlük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hibe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ve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maliyetlerini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karşılamak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için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mesafelerine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karşı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gelen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tutarı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alacaktır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hareketliliği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faaliyetinden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faydalanan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personeline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ödenecek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gideri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miktarı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Mesafe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Hesaplayıcı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kullanılarak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edilmelidir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gideri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ödemesi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personelin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yerleşik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olduğu</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üniversite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şehrinden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faaliyet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gerçekleştireceği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üniversite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şehrine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kadar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olan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ulaşımı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karşılamaktadır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Mesafe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hesaplayıcısında</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belirtilen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tutarın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üstünde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ücret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ödenmesi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mümkün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olmayacaktır</w:t>
      </w:r>
      <w:proofErr w:type="spellEnd"/>
      <w:r w:rsidRPr="008C276F">
        <w:rPr>
          <w:rFonts w:ascii="Times New Roman" w:hAnsi="Times New Roman" w:cs="Times New Roman"/>
          <w:sz w:val="24"/>
        </w:rPr>
        <w:t xml:space="preserve">. </w:t>
      </w:r>
    </w:p>
    <w:p w:rsidR="00F918BB"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Başvuru Sahibi;</w:t>
      </w:r>
    </w:p>
    <w:p w:rsidR="008C276F" w:rsidRPr="00D5601B" w:rsidRDefault="008C276F" w:rsidP="008C276F">
      <w:pPr>
        <w:pStyle w:val="NormalWeb"/>
        <w:spacing w:before="0" w:beforeAutospacing="0"/>
        <w:rPr>
          <w:color w:val="C00000"/>
        </w:rPr>
      </w:pPr>
      <w:r w:rsidRPr="00D5601B">
        <w:rPr>
          <w:color w:val="000001"/>
        </w:rPr>
        <w:t>Başvuru formunun bir çıktısını alıp,</w:t>
      </w:r>
      <w:r w:rsidR="00FC6592">
        <w:rPr>
          <w:color w:val="000001"/>
        </w:rPr>
        <w:t xml:space="preserve"> görevli olduğu b</w:t>
      </w:r>
      <w:r w:rsidR="006C5518">
        <w:rPr>
          <w:color w:val="000001"/>
        </w:rPr>
        <w:t>irimin ilgili a</w:t>
      </w:r>
      <w:r w:rsidRPr="00D5601B">
        <w:rPr>
          <w:color w:val="000001"/>
        </w:rPr>
        <w:t xml:space="preserve">mirine </w:t>
      </w:r>
      <w:r w:rsidR="00501305">
        <w:rPr>
          <w:color w:val="000001"/>
        </w:rPr>
        <w:t>de bildirmek</w:t>
      </w:r>
      <w:r w:rsidRPr="00D5601B">
        <w:rPr>
          <w:color w:val="000001"/>
        </w:rPr>
        <w:t xml:space="preserve"> suretiyle </w:t>
      </w:r>
      <w:r w:rsidRPr="00D5601B">
        <w:rPr>
          <w:rStyle w:val="Gl"/>
          <w:color w:val="000001"/>
        </w:rPr>
        <w:t>ekleriyle birlikte</w:t>
      </w:r>
      <w:r w:rsidR="00FC6592">
        <w:rPr>
          <w:color w:val="000001"/>
        </w:rPr>
        <w:t xml:space="preserve"> </w:t>
      </w:r>
      <w:proofErr w:type="gramStart"/>
      <w:r w:rsidR="00FC6592">
        <w:rPr>
          <w:color w:val="000001"/>
        </w:rPr>
        <w:t>online</w:t>
      </w:r>
      <w:proofErr w:type="gramEnd"/>
      <w:r w:rsidR="00FC6592">
        <w:rPr>
          <w:color w:val="000001"/>
        </w:rPr>
        <w:t xml:space="preserve"> olarak yükley</w:t>
      </w:r>
      <w:r w:rsidRPr="00D5601B">
        <w:rPr>
          <w:color w:val="000001"/>
        </w:rPr>
        <w:t>ecektir (</w:t>
      </w:r>
      <w:hyperlink r:id="rId5" w:tgtFrame="_blank" w:history="1">
        <w:r w:rsidRPr="00D5601B">
          <w:rPr>
            <w:rStyle w:val="Kpr"/>
            <w:color w:val="0066CC"/>
          </w:rPr>
          <w:t>https://erasmusbasvuru.ua.gov.tr/</w:t>
        </w:r>
      </w:hyperlink>
      <w:r w:rsidRPr="00D5601B">
        <w:rPr>
          <w:color w:val="000001"/>
        </w:rPr>
        <w:t xml:space="preserve">). Bu işlemi yapmayan personelin başvurusu </w:t>
      </w:r>
      <w:r w:rsidRPr="00D5601B">
        <w:rPr>
          <w:color w:val="C00000"/>
          <w:u w:val="single"/>
        </w:rPr>
        <w:t>geçersiz sayılacaktır</w:t>
      </w:r>
      <w:r w:rsidRPr="00D5601B">
        <w:rPr>
          <w:color w:val="C00000"/>
        </w:rPr>
        <w:t>.</w:t>
      </w:r>
    </w:p>
    <w:p w:rsidR="00F766C8" w:rsidRPr="00F766C8" w:rsidRDefault="00FC6592" w:rsidP="00493636">
      <w:pPr>
        <w:rPr>
          <w:rFonts w:ascii="Times New Roman" w:hAnsi="Times New Roman" w:cs="Times New Roman"/>
          <w:b/>
          <w:sz w:val="24"/>
          <w:szCs w:val="24"/>
          <w:lang w:val="tr-TR"/>
        </w:rPr>
      </w:pPr>
      <w:r>
        <w:rPr>
          <w:rFonts w:ascii="Times New Roman" w:hAnsi="Times New Roman" w:cs="Times New Roman"/>
          <w:b/>
          <w:sz w:val="24"/>
          <w:szCs w:val="24"/>
          <w:lang w:val="tr-TR"/>
        </w:rPr>
        <w:t xml:space="preserve">Bölüm </w:t>
      </w:r>
      <w:proofErr w:type="spellStart"/>
      <w:r>
        <w:rPr>
          <w:rFonts w:ascii="Times New Roman" w:hAnsi="Times New Roman" w:cs="Times New Roman"/>
          <w:b/>
          <w:sz w:val="24"/>
          <w:szCs w:val="24"/>
          <w:lang w:val="tr-TR"/>
        </w:rPr>
        <w:t>Erasmus</w:t>
      </w:r>
      <w:proofErr w:type="spellEnd"/>
      <w:r>
        <w:rPr>
          <w:rFonts w:ascii="Times New Roman" w:hAnsi="Times New Roman" w:cs="Times New Roman"/>
          <w:b/>
          <w:sz w:val="24"/>
          <w:szCs w:val="24"/>
          <w:lang w:val="tr-TR"/>
        </w:rPr>
        <w:t xml:space="preserve"> </w:t>
      </w:r>
      <w:r w:rsidR="00A721AC">
        <w:rPr>
          <w:rFonts w:ascii="Times New Roman" w:hAnsi="Times New Roman" w:cs="Times New Roman"/>
          <w:b/>
          <w:sz w:val="24"/>
          <w:szCs w:val="24"/>
          <w:lang w:val="tr-TR"/>
        </w:rPr>
        <w:t>Koordinatörü</w:t>
      </w:r>
      <w:r w:rsidR="00F918BB" w:rsidRPr="00F766C8">
        <w:rPr>
          <w:rFonts w:ascii="Times New Roman" w:hAnsi="Times New Roman" w:cs="Times New Roman"/>
          <w:b/>
          <w:sz w:val="24"/>
          <w:szCs w:val="24"/>
          <w:lang w:val="tr-TR"/>
        </w:rPr>
        <w:t>;</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Başvuru yapan akademik personele, gidecekleri üniversiteye karar verirken sorularını yanıtlamak üzere danışmanlık hizmeti sunacaktır. Personelin doldurduğu</w:t>
      </w:r>
      <w:r w:rsidR="00F766C8">
        <w:rPr>
          <w:rFonts w:ascii="Times New Roman" w:hAnsi="Times New Roman" w:cs="Times New Roman"/>
          <w:sz w:val="24"/>
          <w:szCs w:val="24"/>
          <w:lang w:val="tr-TR"/>
        </w:rPr>
        <w:t xml:space="preserve"> </w:t>
      </w:r>
      <w:r w:rsidRPr="00CE6E90">
        <w:rPr>
          <w:rFonts w:ascii="Times New Roman" w:hAnsi="Times New Roman" w:cs="Times New Roman"/>
          <w:sz w:val="24"/>
          <w:szCs w:val="24"/>
          <w:lang w:val="tr-TR"/>
        </w:rPr>
        <w:t xml:space="preserve">başvuru formlarını şekil açısından kontrol edip, imzalayarak başvuru dosyalarını ilgili bölüm başkanlığına iletecektir. </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De</w:t>
      </w:r>
      <w:r w:rsidR="008C276F">
        <w:rPr>
          <w:rFonts w:ascii="Times New Roman" w:hAnsi="Times New Roman" w:cs="Times New Roman"/>
          <w:b/>
          <w:sz w:val="24"/>
          <w:szCs w:val="24"/>
          <w:lang w:val="tr-TR"/>
        </w:rPr>
        <w:t>kanlıklar/Müdürlükler/Başkanlıklar</w:t>
      </w:r>
      <w:r w:rsidR="008C276F" w:rsidRPr="00F766C8">
        <w:rPr>
          <w:rFonts w:ascii="Times New Roman" w:hAnsi="Times New Roman" w:cs="Times New Roman"/>
          <w:b/>
          <w:sz w:val="24"/>
          <w:szCs w:val="24"/>
          <w:lang w:val="tr-TR"/>
        </w:rPr>
        <w:t>;</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Kendilerinde toplanan başvuru </w:t>
      </w:r>
      <w:r w:rsidR="004A5A95">
        <w:rPr>
          <w:rFonts w:ascii="Times New Roman" w:hAnsi="Times New Roman" w:cs="Times New Roman"/>
          <w:sz w:val="24"/>
          <w:szCs w:val="24"/>
          <w:lang w:val="tr-TR"/>
        </w:rPr>
        <w:t>formlarını</w:t>
      </w:r>
      <w:r w:rsidRPr="00CE6E90">
        <w:rPr>
          <w:rFonts w:ascii="Times New Roman" w:hAnsi="Times New Roman" w:cs="Times New Roman"/>
          <w:sz w:val="24"/>
          <w:szCs w:val="24"/>
          <w:lang w:val="tr-TR"/>
        </w:rPr>
        <w:t xml:space="preserve"> ilan edilen son tarihe kadar bir üst yazıyla</w:t>
      </w:r>
      <w:r w:rsidR="008C276F">
        <w:rPr>
          <w:rFonts w:ascii="Times New Roman" w:hAnsi="Times New Roman" w:cs="Times New Roman"/>
          <w:sz w:val="24"/>
          <w:szCs w:val="24"/>
          <w:lang w:val="tr-TR"/>
        </w:rPr>
        <w:t xml:space="preserve"> Dış İlişkiler Ofisi Başkanlığı</w:t>
      </w:r>
      <w:r w:rsidRPr="00CE6E90">
        <w:rPr>
          <w:rFonts w:ascii="Times New Roman" w:hAnsi="Times New Roman" w:cs="Times New Roman"/>
          <w:sz w:val="24"/>
          <w:szCs w:val="24"/>
          <w:lang w:val="tr-TR"/>
        </w:rPr>
        <w:t>na ileteceklerdir.</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Dış İlişkiler Ofisi;</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Dekanlıklar/Müdürlükler</w:t>
      </w:r>
      <w:r w:rsidR="008C276F">
        <w:rPr>
          <w:rFonts w:ascii="Times New Roman" w:hAnsi="Times New Roman" w:cs="Times New Roman"/>
          <w:sz w:val="24"/>
          <w:szCs w:val="24"/>
          <w:lang w:val="tr-TR"/>
        </w:rPr>
        <w:t>/Başkanlıklar</w:t>
      </w:r>
      <w:r w:rsidRPr="00CE6E90">
        <w:rPr>
          <w:rFonts w:ascii="Times New Roman" w:hAnsi="Times New Roman" w:cs="Times New Roman"/>
          <w:sz w:val="24"/>
          <w:szCs w:val="24"/>
          <w:lang w:val="tr-TR"/>
        </w:rPr>
        <w:t xml:space="preserve"> tarafından iletilen başvuruları uygunluk kontrolünde</w:t>
      </w:r>
      <w:r w:rsidR="008C276F">
        <w:rPr>
          <w:rFonts w:ascii="Times New Roman" w:hAnsi="Times New Roman" w:cs="Times New Roman"/>
          <w:sz w:val="24"/>
          <w:szCs w:val="24"/>
          <w:lang w:val="tr-TR"/>
        </w:rPr>
        <w:t>n geçirir. Uygun olan b</w:t>
      </w:r>
      <w:r w:rsidRPr="00CE6E90">
        <w:rPr>
          <w:rFonts w:ascii="Times New Roman" w:hAnsi="Times New Roman" w:cs="Times New Roman"/>
          <w:sz w:val="24"/>
          <w:szCs w:val="24"/>
          <w:lang w:val="tr-TR"/>
        </w:rPr>
        <w:t xml:space="preserve">aşvurular seçim komisyonuna sunulur. </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Seçim Komisyonu;</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Başvuruların ve puanlamaların değerlendirilme süre</w:t>
      </w:r>
      <w:r w:rsidR="00D36BFC">
        <w:rPr>
          <w:rFonts w:ascii="Times New Roman" w:hAnsi="Times New Roman" w:cs="Times New Roman"/>
          <w:sz w:val="24"/>
          <w:szCs w:val="24"/>
          <w:lang w:val="tr-TR"/>
        </w:rPr>
        <w:t xml:space="preserve">ci, Rektörlük tarafından ‘resmi </w:t>
      </w:r>
      <w:r w:rsidRPr="00CE6E90">
        <w:rPr>
          <w:rFonts w:ascii="Times New Roman" w:hAnsi="Times New Roman" w:cs="Times New Roman"/>
          <w:sz w:val="24"/>
          <w:szCs w:val="24"/>
          <w:lang w:val="tr-TR"/>
        </w:rPr>
        <w:t>görevlendirme’ ile görevlendirilmiş bir Seçim Komisyonu tarafından yürütülür.</w:t>
      </w:r>
    </w:p>
    <w:p w:rsidR="00F918BB"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Değerlendirme Ölçütleri</w:t>
      </w:r>
    </w:p>
    <w:p w:rsidR="00F918BB" w:rsidRPr="00CE6E90" w:rsidRDefault="00F766C8" w:rsidP="00493636">
      <w:pPr>
        <w:rPr>
          <w:rFonts w:ascii="Times New Roman" w:hAnsi="Times New Roman" w:cs="Times New Roman"/>
          <w:sz w:val="24"/>
          <w:szCs w:val="24"/>
          <w:lang w:val="tr-TR"/>
        </w:rPr>
      </w:pPr>
      <w:r>
        <w:rPr>
          <w:rFonts w:ascii="Times New Roman" w:hAnsi="Times New Roman" w:cs="Times New Roman"/>
          <w:sz w:val="24"/>
          <w:szCs w:val="24"/>
          <w:lang w:val="tr-TR"/>
        </w:rPr>
        <w:t>Kayseri</w:t>
      </w:r>
      <w:r w:rsidR="00F918BB" w:rsidRPr="00CE6E90">
        <w:rPr>
          <w:rFonts w:ascii="Times New Roman" w:hAnsi="Times New Roman" w:cs="Times New Roman"/>
          <w:sz w:val="24"/>
          <w:szCs w:val="24"/>
          <w:lang w:val="tr-TR"/>
        </w:rPr>
        <w:t xml:space="preserve"> Üniversitesi, hareketlilikten faydalanacak personelin seçiminin tarafsız bir şekilde yapılmasını, şeffaflık ve adaletin gözetilmesini sağlamakla ve gerektiğinde seçim sürecine ait her türlü belgeyi sunabilecek şekilde belgelendirme yapmakla yükümlüdür. </w:t>
      </w:r>
    </w:p>
    <w:p w:rsidR="00F918BB"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Değerlendirme sürecinin adil ve tutarlı olabilmesi için tüm personele eşit derecede uygulanabilecek nitelikte değerlendirme ölçütleri belirlenmiştir.</w:t>
      </w:r>
    </w:p>
    <w:p w:rsidR="004A5A95" w:rsidRPr="00652B5B" w:rsidRDefault="008C276F" w:rsidP="008C276F">
      <w:pPr>
        <w:shd w:val="clear" w:color="auto" w:fill="FFFFFF"/>
        <w:spacing w:before="100" w:beforeAutospacing="1" w:after="100" w:afterAutospacing="1" w:line="240" w:lineRule="auto"/>
        <w:jc w:val="both"/>
        <w:rPr>
          <w:rFonts w:ascii="Times New Roman" w:hAnsi="Times New Roman" w:cs="Times New Roman"/>
          <w:sz w:val="24"/>
          <w:szCs w:val="24"/>
          <w:u w:val="single"/>
        </w:rPr>
      </w:pPr>
      <w:proofErr w:type="spellStart"/>
      <w:r w:rsidRPr="00652B5B">
        <w:rPr>
          <w:rFonts w:ascii="Times New Roman" w:hAnsi="Times New Roman" w:cs="Times New Roman"/>
          <w:sz w:val="24"/>
          <w:szCs w:val="24"/>
          <w:u w:val="single"/>
        </w:rPr>
        <w:t>Belirtilen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kontenjanlar</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tahmini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olup</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personellerin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gidecekleri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ülkelere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göre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hibe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miktarı</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değişeceği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için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farklılık</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gösterebilir</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Nihai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sayı</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başvuru</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sonuçlarından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sonra</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oluşacak</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tablo</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ve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bütçe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hesaplamalarının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sonucunda</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kesinleştirilecektir</w:t>
      </w:r>
      <w:proofErr w:type="spellEnd"/>
      <w:r w:rsidRPr="00652B5B">
        <w:rPr>
          <w:rFonts w:ascii="Times New Roman" w:hAnsi="Times New Roman" w:cs="Times New Roman"/>
          <w:sz w:val="24"/>
          <w:szCs w:val="24"/>
          <w:u w:val="single"/>
        </w:rPr>
        <w:t>.</w:t>
      </w:r>
    </w:p>
    <w:p w:rsidR="00F918BB" w:rsidRPr="00F766C8" w:rsidRDefault="00F918BB" w:rsidP="00F918BB">
      <w:pPr>
        <w:shd w:val="clear" w:color="auto" w:fill="FFFFFF"/>
        <w:spacing w:before="100" w:beforeAutospacing="1" w:after="100" w:afterAutospacing="1" w:line="240" w:lineRule="auto"/>
        <w:rPr>
          <w:rFonts w:ascii="Times New Roman" w:eastAsia="Times New Roman" w:hAnsi="Times New Roman" w:cs="Times New Roman"/>
          <w:b/>
          <w:sz w:val="24"/>
          <w:szCs w:val="24"/>
          <w:lang w:val="tr-TR"/>
        </w:rPr>
      </w:pPr>
      <w:r w:rsidRPr="00F766C8">
        <w:rPr>
          <w:rFonts w:ascii="Times New Roman" w:eastAsia="Times New Roman" w:hAnsi="Times New Roman" w:cs="Times New Roman"/>
          <w:b/>
          <w:sz w:val="24"/>
          <w:szCs w:val="24"/>
          <w:lang w:val="tr-TR"/>
        </w:rPr>
        <w:t xml:space="preserve"> </w:t>
      </w:r>
    </w:p>
    <w:p w:rsidR="00F918BB" w:rsidRPr="006C5518" w:rsidRDefault="00F918BB" w:rsidP="00493636">
      <w:pPr>
        <w:rPr>
          <w:rFonts w:ascii="Times New Roman" w:hAnsi="Times New Roman" w:cs="Times New Roman"/>
          <w:b/>
          <w:sz w:val="24"/>
          <w:szCs w:val="24"/>
          <w:u w:val="single"/>
          <w:lang w:val="tr-TR"/>
        </w:rPr>
      </w:pPr>
      <w:r w:rsidRPr="006C5518">
        <w:rPr>
          <w:rFonts w:ascii="Times New Roman" w:hAnsi="Times New Roman" w:cs="Times New Roman"/>
          <w:b/>
          <w:sz w:val="24"/>
          <w:szCs w:val="24"/>
          <w:u w:val="single"/>
          <w:lang w:val="tr-TR"/>
        </w:rPr>
        <w:lastRenderedPageBreak/>
        <w:t>Dil puanı beyan etmeyen personel değerlendirmeye alınmayacaktır.</w:t>
      </w:r>
    </w:p>
    <w:p w:rsidR="00CE6E90"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Hibe Desteği</w:t>
      </w:r>
    </w:p>
    <w:p w:rsidR="006C5518" w:rsidRPr="00CE6E90" w:rsidRDefault="00F918BB" w:rsidP="00C06A61">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hareketliliğinden faydalanan personele verilen hibe katkı niteliğinde olup; verilen hibe yurtdışında geçirilen döneme ilişkin masrafların tamamını karşılamaya yönelik değildir. Personele verilecek hibe miktarı konusunda, yükseköğretim kurumuna sunulan alternatifler üniversite ile personel arasında imzalanması gereken standart sözleşme metninde yer almaktadır. </w:t>
      </w:r>
      <w:r w:rsidR="00341384">
        <w:rPr>
          <w:rFonts w:ascii="Times New Roman" w:hAnsi="Times New Roman" w:cs="Times New Roman"/>
          <w:sz w:val="24"/>
          <w:szCs w:val="24"/>
          <w:lang w:val="tr-TR"/>
        </w:rPr>
        <w:t>Hibe miktarı konusunda yapılacak uygulamanın, hedef kitleye duyurulması ve tüm personele aynı şekilde uygulanması gerekmektedir.</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Personel hareketliliğinden faydalanacak personele verilecek olan gündelik miktarı gidilen ülke ile birlikte gidilen süreye göre aşağıdaki tabloda belirtilen tutarla</w:t>
      </w:r>
      <w:r w:rsidR="00F710F1">
        <w:rPr>
          <w:rFonts w:ascii="Times New Roman" w:hAnsi="Times New Roman" w:cs="Times New Roman"/>
          <w:sz w:val="24"/>
          <w:szCs w:val="24"/>
          <w:lang w:val="tr-TR"/>
        </w:rPr>
        <w:t xml:space="preserve">r dikkate alınarak hesaplanır. </w:t>
      </w:r>
      <w:r w:rsidR="008C276F" w:rsidRPr="00CE6E90">
        <w:rPr>
          <w:rFonts w:ascii="Times New Roman" w:hAnsi="Times New Roman" w:cs="Times New Roman"/>
          <w:sz w:val="24"/>
          <w:szCs w:val="24"/>
          <w:lang w:val="tr-TR"/>
        </w:rPr>
        <w:t xml:space="preserve">Tabloda gösterilen miktarlar </w:t>
      </w:r>
      <w:r w:rsidR="00341384">
        <w:rPr>
          <w:rFonts w:ascii="Times New Roman" w:hAnsi="Times New Roman" w:cs="Times New Roman"/>
          <w:sz w:val="24"/>
          <w:szCs w:val="24"/>
          <w:lang w:val="tr-TR"/>
        </w:rPr>
        <w:t>Avro</w:t>
      </w:r>
      <w:r w:rsidR="008C276F" w:rsidRPr="00CE6E90">
        <w:rPr>
          <w:rFonts w:ascii="Times New Roman" w:hAnsi="Times New Roman" w:cs="Times New Roman"/>
          <w:sz w:val="24"/>
          <w:szCs w:val="24"/>
          <w:lang w:val="tr-TR"/>
        </w:rPr>
        <w:t xml:space="preserve"> cinsindendir.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5812"/>
        <w:gridCol w:w="1701"/>
      </w:tblGrid>
      <w:tr w:rsidR="00CE6E90" w:rsidRPr="00CE6E90" w:rsidTr="00F710F1">
        <w:trPr>
          <w:trHeight w:val="583"/>
        </w:trPr>
        <w:tc>
          <w:tcPr>
            <w:tcW w:w="1946" w:type="dxa"/>
          </w:tcPr>
          <w:p w:rsidR="00CE6E90" w:rsidRPr="00CE6E90" w:rsidRDefault="00CE6E90">
            <w:pPr>
              <w:pStyle w:val="Default"/>
              <w:rPr>
                <w:lang w:val="tr-TR"/>
              </w:rPr>
            </w:pPr>
            <w:r w:rsidRPr="00CE6E90">
              <w:rPr>
                <w:b/>
                <w:bCs/>
                <w:lang w:val="tr-TR"/>
              </w:rPr>
              <w:t xml:space="preserve">Ülke Grupları </w:t>
            </w:r>
          </w:p>
        </w:tc>
        <w:tc>
          <w:tcPr>
            <w:tcW w:w="5812" w:type="dxa"/>
          </w:tcPr>
          <w:p w:rsidR="00CE6E90" w:rsidRPr="00CE6E90" w:rsidRDefault="008C276F">
            <w:pPr>
              <w:pStyle w:val="Default"/>
              <w:rPr>
                <w:lang w:val="tr-TR"/>
              </w:rPr>
            </w:pPr>
            <w:r>
              <w:rPr>
                <w:b/>
                <w:bCs/>
                <w:lang w:val="tr-TR"/>
              </w:rPr>
              <w:t>Misafir Olunacak Ülke</w:t>
            </w:r>
          </w:p>
        </w:tc>
        <w:tc>
          <w:tcPr>
            <w:tcW w:w="1701" w:type="dxa"/>
          </w:tcPr>
          <w:p w:rsidR="00CE6E90" w:rsidRPr="00CE6E90" w:rsidRDefault="00CE6E90">
            <w:pPr>
              <w:pStyle w:val="Default"/>
              <w:rPr>
                <w:lang w:val="tr-TR"/>
              </w:rPr>
            </w:pPr>
            <w:r w:rsidRPr="00CE6E90">
              <w:rPr>
                <w:b/>
                <w:bCs/>
                <w:lang w:val="tr-TR"/>
              </w:rPr>
              <w:t xml:space="preserve">Günlük hibe miktarları (Avro) </w:t>
            </w:r>
          </w:p>
        </w:tc>
      </w:tr>
      <w:tr w:rsidR="00CE6E90" w:rsidRPr="00CE6E90" w:rsidTr="00F710F1">
        <w:trPr>
          <w:trHeight w:val="426"/>
        </w:trPr>
        <w:tc>
          <w:tcPr>
            <w:tcW w:w="1946" w:type="dxa"/>
          </w:tcPr>
          <w:p w:rsidR="00CE6E90" w:rsidRPr="00CE6E90" w:rsidRDefault="00CE6E90" w:rsidP="001D6520">
            <w:pPr>
              <w:pStyle w:val="Default"/>
              <w:rPr>
                <w:lang w:val="tr-TR"/>
              </w:rPr>
            </w:pPr>
            <w:r w:rsidRPr="00CE6E90">
              <w:rPr>
                <w:lang w:val="tr-TR"/>
              </w:rPr>
              <w:t xml:space="preserve">1. Grup </w:t>
            </w:r>
            <w:r w:rsidR="001D6520">
              <w:rPr>
                <w:lang w:val="tr-TR"/>
              </w:rPr>
              <w:t>Ülkeler</w:t>
            </w:r>
          </w:p>
        </w:tc>
        <w:tc>
          <w:tcPr>
            <w:tcW w:w="5812" w:type="dxa"/>
          </w:tcPr>
          <w:p w:rsidR="00CE6E90" w:rsidRDefault="00CE6E90">
            <w:pPr>
              <w:pStyle w:val="Default"/>
              <w:rPr>
                <w:lang w:val="tr-TR"/>
              </w:rPr>
            </w:pPr>
            <w:r w:rsidRPr="00CE6E90">
              <w:rPr>
                <w:lang w:val="tr-TR"/>
              </w:rPr>
              <w:t xml:space="preserve">Danimarka, Finlandiya, İrlanda, İsveç, İzlanda, Lihtenştayn, Lüksemburg, Norveç </w:t>
            </w:r>
          </w:p>
          <w:p w:rsidR="001D6520" w:rsidRPr="00CE6E90" w:rsidRDefault="001D6520">
            <w:pPr>
              <w:pStyle w:val="Default"/>
              <w:rPr>
                <w:lang w:val="tr-TR"/>
              </w:rPr>
            </w:pPr>
            <w:r>
              <w:t xml:space="preserve">14. </w:t>
            </w:r>
            <w:proofErr w:type="spellStart"/>
            <w:r>
              <w:t>Bölge</w:t>
            </w:r>
            <w:proofErr w:type="spellEnd"/>
            <w:r>
              <w:t xml:space="preserve"> </w:t>
            </w:r>
            <w:proofErr w:type="spellStart"/>
            <w:r>
              <w:t>Ülkeleri</w:t>
            </w:r>
            <w:proofErr w:type="spellEnd"/>
          </w:p>
        </w:tc>
        <w:tc>
          <w:tcPr>
            <w:tcW w:w="1701" w:type="dxa"/>
          </w:tcPr>
          <w:p w:rsidR="00CE6E90" w:rsidRPr="00CE6E90" w:rsidRDefault="008C276F" w:rsidP="006C5518">
            <w:pPr>
              <w:pStyle w:val="Default"/>
              <w:jc w:val="center"/>
              <w:rPr>
                <w:lang w:val="tr-TR"/>
              </w:rPr>
            </w:pPr>
            <w:r>
              <w:rPr>
                <w:lang w:val="tr-TR"/>
              </w:rPr>
              <w:t>162</w:t>
            </w:r>
          </w:p>
        </w:tc>
      </w:tr>
      <w:tr w:rsidR="00CE6E90" w:rsidRPr="00CE6E90" w:rsidTr="00F710F1">
        <w:trPr>
          <w:trHeight w:val="426"/>
        </w:trPr>
        <w:tc>
          <w:tcPr>
            <w:tcW w:w="1946" w:type="dxa"/>
          </w:tcPr>
          <w:p w:rsidR="00CE6E90" w:rsidRPr="00CE6E90" w:rsidRDefault="00CE6E90" w:rsidP="001D6520">
            <w:pPr>
              <w:pStyle w:val="Default"/>
              <w:rPr>
                <w:lang w:val="tr-TR"/>
              </w:rPr>
            </w:pPr>
            <w:r w:rsidRPr="00CE6E90">
              <w:rPr>
                <w:lang w:val="tr-TR"/>
              </w:rPr>
              <w:t xml:space="preserve">2. Grup </w:t>
            </w:r>
            <w:r w:rsidR="001D6520">
              <w:rPr>
                <w:lang w:val="tr-TR"/>
              </w:rPr>
              <w:t>Ülkeler</w:t>
            </w:r>
          </w:p>
        </w:tc>
        <w:tc>
          <w:tcPr>
            <w:tcW w:w="5812" w:type="dxa"/>
          </w:tcPr>
          <w:p w:rsidR="00CE6E90" w:rsidRDefault="00CE6E90">
            <w:pPr>
              <w:pStyle w:val="Default"/>
              <w:rPr>
                <w:lang w:val="tr-TR"/>
              </w:rPr>
            </w:pPr>
            <w:r w:rsidRPr="00CE6E90">
              <w:rPr>
                <w:lang w:val="tr-TR"/>
              </w:rPr>
              <w:t xml:space="preserve">Almanya, Avusturya, Belçika, Fransa, Güney Kıbrıs, Hollanda, İspanya, İtalya, Malta, Portekiz, Yunanistan </w:t>
            </w:r>
          </w:p>
          <w:p w:rsidR="001D6520" w:rsidRPr="00CE6E90" w:rsidRDefault="006C5518">
            <w:pPr>
              <w:pStyle w:val="Default"/>
              <w:rPr>
                <w:lang w:val="tr-TR"/>
              </w:rPr>
            </w:pPr>
            <w:r>
              <w:t>13</w:t>
            </w:r>
            <w:r w:rsidR="001D6520">
              <w:t xml:space="preserve">. </w:t>
            </w:r>
            <w:proofErr w:type="spellStart"/>
            <w:r w:rsidR="001D6520">
              <w:t>Bölge</w:t>
            </w:r>
            <w:proofErr w:type="spellEnd"/>
            <w:r w:rsidR="001D6520">
              <w:t xml:space="preserve"> </w:t>
            </w:r>
            <w:proofErr w:type="spellStart"/>
            <w:r w:rsidR="001D6520">
              <w:t>Ülkeleri</w:t>
            </w:r>
            <w:proofErr w:type="spellEnd"/>
          </w:p>
        </w:tc>
        <w:tc>
          <w:tcPr>
            <w:tcW w:w="1701" w:type="dxa"/>
          </w:tcPr>
          <w:p w:rsidR="00CE6E90" w:rsidRPr="00CE6E90" w:rsidRDefault="001D6520" w:rsidP="006C5518">
            <w:pPr>
              <w:pStyle w:val="Default"/>
              <w:jc w:val="center"/>
              <w:rPr>
                <w:lang w:val="tr-TR"/>
              </w:rPr>
            </w:pPr>
            <w:r>
              <w:rPr>
                <w:lang w:val="tr-TR"/>
              </w:rPr>
              <w:t>144</w:t>
            </w:r>
          </w:p>
        </w:tc>
      </w:tr>
      <w:tr w:rsidR="00CE6E90" w:rsidRPr="00CE6E90" w:rsidTr="00F710F1">
        <w:trPr>
          <w:trHeight w:val="585"/>
        </w:trPr>
        <w:tc>
          <w:tcPr>
            <w:tcW w:w="1946" w:type="dxa"/>
          </w:tcPr>
          <w:p w:rsidR="00CE6E90" w:rsidRPr="00CE6E90" w:rsidRDefault="00CE6E90" w:rsidP="001D6520">
            <w:pPr>
              <w:pStyle w:val="Default"/>
              <w:rPr>
                <w:lang w:val="tr-TR"/>
              </w:rPr>
            </w:pPr>
            <w:r w:rsidRPr="00CE6E90">
              <w:rPr>
                <w:lang w:val="tr-TR"/>
              </w:rPr>
              <w:t xml:space="preserve">3. Grup </w:t>
            </w:r>
            <w:r w:rsidR="001D6520">
              <w:rPr>
                <w:lang w:val="tr-TR"/>
              </w:rPr>
              <w:t>Ülkeler</w:t>
            </w:r>
          </w:p>
        </w:tc>
        <w:tc>
          <w:tcPr>
            <w:tcW w:w="5812" w:type="dxa"/>
          </w:tcPr>
          <w:p w:rsidR="00CE6E90" w:rsidRPr="00CE6E90" w:rsidRDefault="001D6520" w:rsidP="001D6520">
            <w:pPr>
              <w:pStyle w:val="Default"/>
              <w:rPr>
                <w:lang w:val="tr-TR"/>
              </w:rPr>
            </w:pPr>
            <w:proofErr w:type="spellStart"/>
            <w:r>
              <w:t>Bulgaristan</w:t>
            </w:r>
            <w:proofErr w:type="spellEnd"/>
            <w:r>
              <w:t xml:space="preserve">, </w:t>
            </w:r>
            <w:proofErr w:type="spellStart"/>
            <w:r>
              <w:t>Çek</w:t>
            </w:r>
            <w:proofErr w:type="spellEnd"/>
            <w:r>
              <w:t xml:space="preserve"> </w:t>
            </w:r>
            <w:proofErr w:type="spellStart"/>
            <w:r>
              <w:t>Cumhuriyeti</w:t>
            </w:r>
            <w:proofErr w:type="spellEnd"/>
            <w:r>
              <w:t xml:space="preserve">, </w:t>
            </w:r>
            <w:proofErr w:type="spellStart"/>
            <w:r>
              <w:t>Estonya</w:t>
            </w:r>
            <w:proofErr w:type="spellEnd"/>
            <w:r>
              <w:t xml:space="preserve">, </w:t>
            </w:r>
            <w:proofErr w:type="spellStart"/>
            <w:r>
              <w:t>Hırvatistan</w:t>
            </w:r>
            <w:proofErr w:type="spellEnd"/>
            <w:r>
              <w:t xml:space="preserve">, </w:t>
            </w:r>
            <w:proofErr w:type="spellStart"/>
            <w:r>
              <w:t>Kuzey</w:t>
            </w:r>
            <w:proofErr w:type="spellEnd"/>
            <w:r>
              <w:t xml:space="preserve"> </w:t>
            </w:r>
            <w:proofErr w:type="spellStart"/>
            <w:r>
              <w:t>Makedonya</w:t>
            </w:r>
            <w:proofErr w:type="spellEnd"/>
            <w:r>
              <w:t xml:space="preserve">, </w:t>
            </w:r>
            <w:proofErr w:type="spellStart"/>
            <w:r>
              <w:t>Letonya</w:t>
            </w:r>
            <w:proofErr w:type="spellEnd"/>
            <w:r>
              <w:t xml:space="preserve">, </w:t>
            </w:r>
            <w:proofErr w:type="spellStart"/>
            <w:r>
              <w:t>Litvanya</w:t>
            </w:r>
            <w:proofErr w:type="spellEnd"/>
            <w:r>
              <w:t xml:space="preserve">, </w:t>
            </w:r>
            <w:proofErr w:type="spellStart"/>
            <w:r>
              <w:t>Macaristan</w:t>
            </w:r>
            <w:proofErr w:type="spellEnd"/>
            <w:r>
              <w:t xml:space="preserve">, </w:t>
            </w:r>
            <w:proofErr w:type="spellStart"/>
            <w:r>
              <w:t>Polonya</w:t>
            </w:r>
            <w:proofErr w:type="spellEnd"/>
            <w:r>
              <w:t xml:space="preserve">, </w:t>
            </w:r>
            <w:proofErr w:type="spellStart"/>
            <w:r>
              <w:t>Romanya</w:t>
            </w:r>
            <w:proofErr w:type="spellEnd"/>
            <w:r>
              <w:t xml:space="preserve">, </w:t>
            </w:r>
            <w:proofErr w:type="spellStart"/>
            <w:r>
              <w:t>Sırbistan</w:t>
            </w:r>
            <w:proofErr w:type="spellEnd"/>
            <w:r>
              <w:t xml:space="preserve">, </w:t>
            </w:r>
            <w:proofErr w:type="spellStart"/>
            <w:r>
              <w:t>Slovakya</w:t>
            </w:r>
            <w:proofErr w:type="spellEnd"/>
            <w:r>
              <w:t xml:space="preserve">, </w:t>
            </w:r>
            <w:proofErr w:type="spellStart"/>
            <w:r>
              <w:t>Slovenya</w:t>
            </w:r>
            <w:proofErr w:type="spellEnd"/>
            <w:r>
              <w:t xml:space="preserve">, </w:t>
            </w:r>
            <w:proofErr w:type="spellStart"/>
            <w:r>
              <w:t>Türkiye</w:t>
            </w:r>
            <w:proofErr w:type="spellEnd"/>
            <w:r>
              <w:t xml:space="preserve"> *</w:t>
            </w:r>
          </w:p>
        </w:tc>
        <w:tc>
          <w:tcPr>
            <w:tcW w:w="1701" w:type="dxa"/>
          </w:tcPr>
          <w:p w:rsidR="00CE6E90" w:rsidRPr="00CE6E90" w:rsidRDefault="00CE6E90" w:rsidP="006C5518">
            <w:pPr>
              <w:pStyle w:val="Default"/>
              <w:jc w:val="center"/>
              <w:rPr>
                <w:lang w:val="tr-TR"/>
              </w:rPr>
            </w:pPr>
            <w:r w:rsidRPr="00CE6E90">
              <w:rPr>
                <w:lang w:val="tr-TR"/>
              </w:rPr>
              <w:t>1</w:t>
            </w:r>
            <w:r w:rsidR="001D6520">
              <w:rPr>
                <w:lang w:val="tr-TR"/>
              </w:rPr>
              <w:t>26</w:t>
            </w:r>
          </w:p>
        </w:tc>
      </w:tr>
      <w:tr w:rsidR="001D6520" w:rsidRPr="00CE6E90" w:rsidTr="00F710F1">
        <w:trPr>
          <w:trHeight w:val="585"/>
        </w:trPr>
        <w:tc>
          <w:tcPr>
            <w:tcW w:w="1946" w:type="dxa"/>
          </w:tcPr>
          <w:p w:rsidR="001D6520" w:rsidRPr="00CE6E90" w:rsidRDefault="001D6520" w:rsidP="001D6520">
            <w:pPr>
              <w:pStyle w:val="Default"/>
              <w:rPr>
                <w:lang w:val="tr-TR"/>
              </w:rPr>
            </w:pPr>
            <w:proofErr w:type="spellStart"/>
            <w:r>
              <w:t>Diğer</w:t>
            </w:r>
            <w:proofErr w:type="spellEnd"/>
            <w:r>
              <w:t xml:space="preserve"> </w:t>
            </w:r>
            <w:proofErr w:type="spellStart"/>
            <w:r>
              <w:t>Ülkeler</w:t>
            </w:r>
            <w:proofErr w:type="spellEnd"/>
          </w:p>
        </w:tc>
        <w:tc>
          <w:tcPr>
            <w:tcW w:w="5812" w:type="dxa"/>
          </w:tcPr>
          <w:p w:rsidR="001D6520" w:rsidRDefault="006C5518" w:rsidP="006C5518">
            <w:pPr>
              <w:pStyle w:val="Default"/>
            </w:pPr>
            <w:r>
              <w:t>1-12</w:t>
            </w:r>
            <w:r w:rsidR="001D6520">
              <w:t xml:space="preserve">. </w:t>
            </w:r>
            <w:proofErr w:type="spellStart"/>
            <w:r w:rsidR="001D6520">
              <w:t>Bölge</w:t>
            </w:r>
            <w:proofErr w:type="spellEnd"/>
            <w:r w:rsidR="001D6520">
              <w:t xml:space="preserve"> </w:t>
            </w:r>
            <w:proofErr w:type="spellStart"/>
            <w:r w:rsidR="001D6520">
              <w:t>Ülkeleri</w:t>
            </w:r>
            <w:proofErr w:type="spellEnd"/>
          </w:p>
        </w:tc>
        <w:tc>
          <w:tcPr>
            <w:tcW w:w="1701" w:type="dxa"/>
          </w:tcPr>
          <w:p w:rsidR="001D6520" w:rsidRPr="00CE6E90" w:rsidRDefault="001D6520" w:rsidP="006C5518">
            <w:pPr>
              <w:pStyle w:val="Default"/>
              <w:jc w:val="center"/>
              <w:rPr>
                <w:lang w:val="tr-TR"/>
              </w:rPr>
            </w:pPr>
            <w:r>
              <w:rPr>
                <w:lang w:val="tr-TR"/>
              </w:rPr>
              <w:t>180</w:t>
            </w:r>
          </w:p>
        </w:tc>
      </w:tr>
    </w:tbl>
    <w:p w:rsidR="00CE6E90" w:rsidRPr="00CE6E90" w:rsidRDefault="00F710F1" w:rsidP="00493636">
      <w:pPr>
        <w:rPr>
          <w:rFonts w:ascii="Times New Roman" w:hAnsi="Times New Roman" w:cs="Times New Roman"/>
          <w:sz w:val="24"/>
          <w:szCs w:val="24"/>
          <w:lang w:val="tr-TR"/>
        </w:rPr>
      </w:pPr>
      <w:proofErr w:type="spellStart"/>
      <w:r w:rsidRPr="000C0546">
        <w:rPr>
          <w:rFonts w:ascii="Times New Roman" w:hAnsi="Times New Roman" w:cs="Times New Roman"/>
        </w:rPr>
        <w:t>Personel</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hareketliliği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faaliyetinden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faydalanan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personeline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ödenecek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seyahat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gideri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miktarı</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Mesafe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Hesaplayıcı</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kullanılarak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w:t>
      </w:r>
      <w:proofErr w:type="spellEnd"/>
      <w:r w:rsidRPr="000C0546">
        <w:rPr>
          <w:rFonts w:ascii="Times New Roman" w:hAnsi="Times New Roman" w:cs="Times New Roman"/>
        </w:rPr>
        <w:t xml:space="preserve"> </w:t>
      </w:r>
      <w:proofErr w:type="spellStart"/>
      <w:proofErr w:type="gramStart"/>
      <w:r w:rsidRPr="000C0546">
        <w:rPr>
          <w:rFonts w:ascii="Times New Roman" w:hAnsi="Times New Roman" w:cs="Times New Roman"/>
        </w:rPr>
        <w:t>edilmelidir</w:t>
      </w:r>
      <w:proofErr w:type="spellEnd"/>
      <w:r w:rsidRPr="000C0546">
        <w:rPr>
          <w:rFonts w:ascii="Times New Roman" w:hAnsi="Times New Roman" w:cs="Times New Roman"/>
        </w:rPr>
        <w:t xml:space="preserve"> :</w:t>
      </w:r>
      <w:proofErr w:type="gramEnd"/>
      <w:r w:rsidRPr="000C0546">
        <w:rPr>
          <w:rFonts w:ascii="Times New Roman" w:hAnsi="Times New Roman" w:cs="Times New Roman"/>
        </w:rPr>
        <w:t xml:space="preserve"> http://ec.europa.eu/programmes/erasmus-plus/tools/distance_en.htm </w:t>
      </w:r>
      <w:proofErr w:type="spellStart"/>
      <w:r w:rsidRPr="000C0546">
        <w:rPr>
          <w:rFonts w:ascii="Times New Roman" w:hAnsi="Times New Roman" w:cs="Times New Roman"/>
        </w:rPr>
        <w:t>personelin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yerleşik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olduğu</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yerden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faaliyet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yerine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kadar</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olan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iki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nokta</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arasının</w:t>
      </w:r>
      <w:proofErr w:type="spellEnd"/>
      <w:r w:rsidRPr="000C0546">
        <w:rPr>
          <w:rFonts w:ascii="Times New Roman" w:hAnsi="Times New Roman" w:cs="Times New Roman"/>
        </w:rPr>
        <w:t xml:space="preserve"> km </w:t>
      </w:r>
      <w:proofErr w:type="spellStart"/>
      <w:r w:rsidRPr="000C0546">
        <w:rPr>
          <w:rFonts w:ascii="Times New Roman" w:hAnsi="Times New Roman" w:cs="Times New Roman"/>
        </w:rPr>
        <w:t>değeri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tespit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edilip</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aşağıdaki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tablo</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kullanılarak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seyahat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hibesi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hesaplanmalıdır</w:t>
      </w:r>
      <w:proofErr w:type="spellEnd"/>
      <w:r w:rsidRPr="000C0546">
        <w:rPr>
          <w:rFonts w:ascii="Times New Roman" w:hAnsi="Times New Roman" w:cs="Times New Roman"/>
        </w:rPr>
        <w:t>.</w:t>
      </w: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Seyahat Desteği</w:t>
      </w:r>
    </w:p>
    <w:p w:rsidR="00CE6E90" w:rsidRPr="00CE6E90" w:rsidRDefault="00CE6E90" w:rsidP="000474F3">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 faaliyetinden faydalanan personeline ödenecek seyahat gideri miktarı Avrupa Komisyonu tarafından sunulan “Mesafe Hesaplayıcı” kullanılarak hesap edilecektir. Mesafe hesaplayıcısına aşağıdaki bağlantıdan ulaşılabilmektedir: </w:t>
      </w:r>
      <w:hyperlink r:id="rId6" w:history="1">
        <w:r w:rsidRPr="00CE6E90">
          <w:rPr>
            <w:rStyle w:val="Kpr"/>
            <w:rFonts w:ascii="Times New Roman" w:hAnsi="Times New Roman" w:cs="Times New Roman"/>
            <w:sz w:val="24"/>
            <w:szCs w:val="24"/>
            <w:lang w:val="tr-TR"/>
          </w:rPr>
          <w:t>http://ec.europa.eu/programmes/erasmus-plus/tools/distance_en.htm</w:t>
        </w:r>
      </w:hyperlink>
    </w:p>
    <w:p w:rsidR="00CE6E90" w:rsidRPr="00CE6E90" w:rsidRDefault="00CE6E90" w:rsidP="000474F3">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Mesafe hesaplayıcısı aracılığı ile personelin yerleşik olduğu yerd</w:t>
      </w:r>
      <w:r w:rsidR="006C5518">
        <w:rPr>
          <w:rFonts w:ascii="Times New Roman" w:hAnsi="Times New Roman" w:cs="Times New Roman"/>
          <w:sz w:val="24"/>
          <w:szCs w:val="24"/>
          <w:lang w:val="tr-TR"/>
        </w:rPr>
        <w:t>en, faaliyet yerine kadar olan iki</w:t>
      </w:r>
      <w:r w:rsidRPr="00CE6E90">
        <w:rPr>
          <w:rFonts w:ascii="Times New Roman" w:hAnsi="Times New Roman" w:cs="Times New Roman"/>
          <w:sz w:val="24"/>
          <w:szCs w:val="24"/>
          <w:lang w:val="tr-TR"/>
        </w:rPr>
        <w:t xml:space="preserve"> nokta arasının km değeri tespit edilecek ve aşağıdaki tablo kullanılarak seyahat hibesi hesaplanacaktır. Personelin aktarmalı olarak seyahat etmesi, yukarıda belirtilen mesafe hesaplaması ile varılan mesafeyi etkilemez.</w:t>
      </w:r>
    </w:p>
    <w:p w:rsidR="00CE6E90" w:rsidRPr="00CE6E90" w:rsidRDefault="00CE6E90" w:rsidP="00493636">
      <w:pPr>
        <w:rPr>
          <w:rFonts w:ascii="Times New Roman" w:hAnsi="Times New Roman" w:cs="Times New Roman"/>
          <w:sz w:val="24"/>
          <w:szCs w:val="24"/>
          <w:lang w:val="tr-TR"/>
        </w:rPr>
      </w:pPr>
    </w:p>
    <w:tbl>
      <w:tblPr>
        <w:tblStyle w:val="TabloKlavuzu"/>
        <w:tblW w:w="0" w:type="auto"/>
        <w:tblLook w:val="04A0" w:firstRow="1" w:lastRow="0" w:firstColumn="1" w:lastColumn="0" w:noHBand="0" w:noVBand="1"/>
      </w:tblPr>
      <w:tblGrid>
        <w:gridCol w:w="3020"/>
        <w:gridCol w:w="3021"/>
        <w:gridCol w:w="3021"/>
      </w:tblGrid>
      <w:tr w:rsidR="00F710F1" w:rsidRPr="000C0546" w:rsidTr="00CD2E22">
        <w:tc>
          <w:tcPr>
            <w:tcW w:w="3020" w:type="dxa"/>
          </w:tcPr>
          <w:p w:rsidR="00F710F1" w:rsidRPr="000C0546" w:rsidRDefault="00F710F1" w:rsidP="00CD2E22">
            <w:pPr>
              <w:pStyle w:val="NormalWeb"/>
              <w:spacing w:before="0" w:beforeAutospacing="0"/>
            </w:pPr>
            <w:r w:rsidRPr="000C0546">
              <w:lastRenderedPageBreak/>
              <w:t>Seyahat Mesafesi</w:t>
            </w:r>
          </w:p>
        </w:tc>
        <w:tc>
          <w:tcPr>
            <w:tcW w:w="3021" w:type="dxa"/>
          </w:tcPr>
          <w:p w:rsidR="00F710F1" w:rsidRPr="000C0546" w:rsidRDefault="00F710F1" w:rsidP="00CD2E22">
            <w:pPr>
              <w:pStyle w:val="NormalWeb"/>
              <w:spacing w:before="0" w:beforeAutospacing="0"/>
            </w:pPr>
            <w:r w:rsidRPr="000C0546">
              <w:t>Hibe miktarı (Avro)</w:t>
            </w:r>
          </w:p>
        </w:tc>
        <w:tc>
          <w:tcPr>
            <w:tcW w:w="3021" w:type="dxa"/>
          </w:tcPr>
          <w:p w:rsidR="00F710F1" w:rsidRPr="000C0546" w:rsidRDefault="00F710F1" w:rsidP="00CD2E22">
            <w:pPr>
              <w:pStyle w:val="NormalWeb"/>
              <w:spacing w:before="0" w:beforeAutospacing="0"/>
            </w:pPr>
            <w:r w:rsidRPr="000C0546">
              <w:t>Yeşil Seyahat Hibe Tutarı (Avro)</w:t>
            </w:r>
          </w:p>
        </w:tc>
      </w:tr>
      <w:tr w:rsidR="00F710F1" w:rsidRPr="000C0546" w:rsidTr="00CD2E22">
        <w:tc>
          <w:tcPr>
            <w:tcW w:w="3020" w:type="dxa"/>
          </w:tcPr>
          <w:p w:rsidR="00F710F1" w:rsidRPr="000C0546" w:rsidRDefault="00F710F1" w:rsidP="00CD2E22">
            <w:pPr>
              <w:pStyle w:val="NormalWeb"/>
              <w:spacing w:before="0" w:beforeAutospacing="0"/>
            </w:pPr>
            <w:r w:rsidRPr="000C0546">
              <w:t>10-99 KM arası</w:t>
            </w:r>
          </w:p>
        </w:tc>
        <w:tc>
          <w:tcPr>
            <w:tcW w:w="3021" w:type="dxa"/>
          </w:tcPr>
          <w:p w:rsidR="00F710F1" w:rsidRPr="000C0546" w:rsidRDefault="00F710F1" w:rsidP="006C5518">
            <w:pPr>
              <w:pStyle w:val="NormalWeb"/>
              <w:spacing w:before="0" w:beforeAutospacing="0"/>
              <w:jc w:val="center"/>
            </w:pPr>
            <w:r w:rsidRPr="000C0546">
              <w:t>23</w:t>
            </w:r>
          </w:p>
        </w:tc>
        <w:tc>
          <w:tcPr>
            <w:tcW w:w="3021" w:type="dxa"/>
            <w:shd w:val="clear" w:color="auto" w:fill="A8D08D" w:themeFill="accent6" w:themeFillTint="99"/>
          </w:tcPr>
          <w:p w:rsidR="00F710F1" w:rsidRPr="000C0546" w:rsidRDefault="00F710F1" w:rsidP="00CD2E22">
            <w:pPr>
              <w:pStyle w:val="NormalWeb"/>
              <w:spacing w:before="0" w:beforeAutospacing="0"/>
            </w:pP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100 - 499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6C5518">
            <w:pPr>
              <w:pStyle w:val="NormalWeb"/>
              <w:spacing w:before="0" w:beforeAutospacing="0"/>
              <w:jc w:val="center"/>
            </w:pPr>
            <w:r w:rsidRPr="000C0546">
              <w:t>180</w:t>
            </w:r>
          </w:p>
        </w:tc>
        <w:tc>
          <w:tcPr>
            <w:tcW w:w="3021" w:type="dxa"/>
          </w:tcPr>
          <w:p w:rsidR="00F710F1" w:rsidRPr="000C0546" w:rsidRDefault="00F710F1" w:rsidP="006C5518">
            <w:pPr>
              <w:pStyle w:val="NormalWeb"/>
              <w:spacing w:before="0" w:beforeAutospacing="0"/>
              <w:jc w:val="center"/>
            </w:pPr>
            <w:r w:rsidRPr="000C0546">
              <w:t>210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500 - 1999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6C5518">
            <w:pPr>
              <w:pStyle w:val="NormalWeb"/>
              <w:spacing w:before="0" w:beforeAutospacing="0"/>
              <w:jc w:val="center"/>
            </w:pPr>
            <w:r w:rsidRPr="000C0546">
              <w:t>275</w:t>
            </w:r>
          </w:p>
        </w:tc>
        <w:tc>
          <w:tcPr>
            <w:tcW w:w="3021" w:type="dxa"/>
          </w:tcPr>
          <w:p w:rsidR="00F710F1" w:rsidRPr="000C0546" w:rsidRDefault="00F710F1" w:rsidP="006C5518">
            <w:pPr>
              <w:pStyle w:val="NormalWeb"/>
              <w:spacing w:before="0" w:beforeAutospacing="0"/>
              <w:jc w:val="center"/>
            </w:pPr>
            <w:r w:rsidRPr="000C0546">
              <w:t>320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2000 - 2999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6C5518">
            <w:pPr>
              <w:pStyle w:val="NormalWeb"/>
              <w:spacing w:before="0" w:beforeAutospacing="0"/>
              <w:jc w:val="center"/>
            </w:pPr>
            <w:r w:rsidRPr="000C0546">
              <w:t>360</w:t>
            </w:r>
          </w:p>
        </w:tc>
        <w:tc>
          <w:tcPr>
            <w:tcW w:w="3021" w:type="dxa"/>
          </w:tcPr>
          <w:p w:rsidR="00F710F1" w:rsidRPr="000C0546" w:rsidRDefault="00F710F1" w:rsidP="006C5518">
            <w:pPr>
              <w:pStyle w:val="NormalWeb"/>
              <w:spacing w:before="0" w:beforeAutospacing="0"/>
              <w:jc w:val="center"/>
            </w:pPr>
            <w:r w:rsidRPr="000C0546">
              <w:t>410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3000 - 3999 KM </w:t>
            </w:r>
            <w:proofErr w:type="spellStart"/>
            <w:r w:rsidRPr="000C0546">
              <w:rPr>
                <w:rFonts w:ascii="Times New Roman" w:hAnsi="Times New Roman" w:cs="Times New Roman"/>
                <w:sz w:val="24"/>
                <w:szCs w:val="24"/>
              </w:rPr>
              <w:t>arası</w:t>
            </w:r>
            <w:proofErr w:type="spellEnd"/>
          </w:p>
        </w:tc>
        <w:tc>
          <w:tcPr>
            <w:tcW w:w="3021" w:type="dxa"/>
          </w:tcPr>
          <w:p w:rsidR="00F710F1" w:rsidRPr="000C0546" w:rsidRDefault="00F710F1" w:rsidP="006C5518">
            <w:pPr>
              <w:pStyle w:val="NormalWeb"/>
              <w:spacing w:before="0" w:beforeAutospacing="0"/>
              <w:jc w:val="center"/>
            </w:pPr>
            <w:r w:rsidRPr="000C0546">
              <w:t>530</w:t>
            </w:r>
          </w:p>
        </w:tc>
        <w:tc>
          <w:tcPr>
            <w:tcW w:w="3021" w:type="dxa"/>
          </w:tcPr>
          <w:p w:rsidR="00F710F1" w:rsidRPr="000C0546" w:rsidRDefault="00F710F1" w:rsidP="006C5518">
            <w:pPr>
              <w:pStyle w:val="NormalWeb"/>
              <w:spacing w:before="0" w:beforeAutospacing="0"/>
              <w:jc w:val="center"/>
            </w:pPr>
            <w:r w:rsidRPr="000C0546">
              <w:t>610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4000 - 7999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6C5518">
            <w:pPr>
              <w:pStyle w:val="NormalWeb"/>
              <w:spacing w:before="0" w:beforeAutospacing="0"/>
              <w:jc w:val="center"/>
            </w:pPr>
            <w:r w:rsidRPr="000C0546">
              <w:t>820</w:t>
            </w:r>
          </w:p>
        </w:tc>
        <w:tc>
          <w:tcPr>
            <w:tcW w:w="3021" w:type="dxa"/>
            <w:shd w:val="clear" w:color="auto" w:fill="A8D08D" w:themeFill="accent6" w:themeFillTint="99"/>
          </w:tcPr>
          <w:p w:rsidR="00F710F1" w:rsidRPr="000C0546" w:rsidRDefault="00F710F1" w:rsidP="00CD2E22">
            <w:pPr>
              <w:pStyle w:val="NormalWeb"/>
              <w:spacing w:before="0" w:beforeAutospacing="0"/>
            </w:pP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8000 KM </w:t>
            </w:r>
            <w:proofErr w:type="spellStart"/>
            <w:r w:rsidRPr="000C0546">
              <w:rPr>
                <w:rFonts w:ascii="Times New Roman" w:hAnsi="Times New Roman" w:cs="Times New Roman"/>
                <w:sz w:val="24"/>
                <w:szCs w:val="24"/>
              </w:rPr>
              <w:t>ve</w:t>
            </w:r>
            <w:proofErr w:type="spellEnd"/>
            <w:r w:rsidRPr="000C0546">
              <w:rPr>
                <w:rFonts w:ascii="Times New Roman" w:hAnsi="Times New Roman" w:cs="Times New Roman"/>
                <w:sz w:val="24"/>
                <w:szCs w:val="24"/>
              </w:rPr>
              <w:t xml:space="preserve"> </w:t>
            </w:r>
            <w:proofErr w:type="spellStart"/>
            <w:r w:rsidRPr="000C0546">
              <w:rPr>
                <w:rFonts w:ascii="Times New Roman" w:hAnsi="Times New Roman" w:cs="Times New Roman"/>
                <w:sz w:val="24"/>
                <w:szCs w:val="24"/>
              </w:rPr>
              <w:t>üzeri</w:t>
            </w:r>
            <w:proofErr w:type="spellEnd"/>
          </w:p>
        </w:tc>
        <w:tc>
          <w:tcPr>
            <w:tcW w:w="3021" w:type="dxa"/>
          </w:tcPr>
          <w:p w:rsidR="00F710F1" w:rsidRPr="000C0546" w:rsidRDefault="00F710F1" w:rsidP="006C5518">
            <w:pPr>
              <w:pStyle w:val="NormalWeb"/>
              <w:spacing w:before="0" w:beforeAutospacing="0"/>
              <w:jc w:val="center"/>
            </w:pPr>
            <w:r w:rsidRPr="000C0546">
              <w:t>1.500</w:t>
            </w:r>
          </w:p>
        </w:tc>
        <w:tc>
          <w:tcPr>
            <w:tcW w:w="3021" w:type="dxa"/>
            <w:shd w:val="clear" w:color="auto" w:fill="A8D08D" w:themeFill="accent6" w:themeFillTint="99"/>
          </w:tcPr>
          <w:p w:rsidR="00F710F1" w:rsidRPr="000C0546" w:rsidRDefault="00F710F1" w:rsidP="00CD2E22">
            <w:pPr>
              <w:pStyle w:val="NormalWeb"/>
              <w:spacing w:before="0" w:beforeAutospacing="0"/>
            </w:pPr>
          </w:p>
        </w:tc>
      </w:tr>
    </w:tbl>
    <w:p w:rsidR="00CE6E90" w:rsidRPr="00CE6E90" w:rsidRDefault="00CE6E90" w:rsidP="00493636">
      <w:pPr>
        <w:rPr>
          <w:rFonts w:ascii="Times New Roman" w:hAnsi="Times New Roman" w:cs="Times New Roman"/>
          <w:sz w:val="24"/>
          <w:szCs w:val="24"/>
          <w:lang w:val="tr-TR"/>
        </w:rPr>
      </w:pP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Ödemede Kesinti Yapılması</w:t>
      </w:r>
    </w:p>
    <w:p w:rsidR="00F710F1" w:rsidRPr="00CE6E90" w:rsidRDefault="00F710F1" w:rsidP="006C5518">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Faal</w:t>
      </w:r>
      <w:r>
        <w:rPr>
          <w:rFonts w:ascii="Times New Roman" w:hAnsi="Times New Roman" w:cs="Times New Roman"/>
          <w:sz w:val="24"/>
          <w:szCs w:val="24"/>
          <w:lang w:val="tr-TR"/>
        </w:rPr>
        <w:t xml:space="preserve">iyeti tamamlamasının ardından </w:t>
      </w:r>
      <w:r w:rsidRPr="00163F3A">
        <w:rPr>
          <w:rFonts w:ascii="Times New Roman" w:hAnsi="Times New Roman" w:cs="Times New Roman"/>
          <w:sz w:val="24"/>
          <w:szCs w:val="24"/>
          <w:u w:val="single"/>
          <w:lang w:val="tr-TR"/>
        </w:rPr>
        <w:t>5 iş günü</w:t>
      </w:r>
      <w:r w:rsidRPr="00CE6E90">
        <w:rPr>
          <w:rFonts w:ascii="Times New Roman" w:hAnsi="Times New Roman" w:cs="Times New Roman"/>
          <w:sz w:val="24"/>
          <w:szCs w:val="24"/>
          <w:lang w:val="tr-TR"/>
        </w:rPr>
        <w:t xml:space="preserve"> içerisinde belgelerini ofi</w:t>
      </w:r>
      <w:r>
        <w:rPr>
          <w:rFonts w:ascii="Times New Roman" w:hAnsi="Times New Roman" w:cs="Times New Roman"/>
          <w:sz w:val="24"/>
          <w:szCs w:val="24"/>
          <w:lang w:val="tr-TR"/>
        </w:rPr>
        <w:t>se teslim etmeyen personelden hibe geri ödemesi istenir</w:t>
      </w:r>
      <w:r w:rsidRPr="00CE6E90">
        <w:rPr>
          <w:rFonts w:ascii="Times New Roman" w:hAnsi="Times New Roman" w:cs="Times New Roman"/>
          <w:sz w:val="24"/>
          <w:szCs w:val="24"/>
          <w:lang w:val="tr-TR"/>
        </w:rPr>
        <w:t>.</w:t>
      </w: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 xml:space="preserve">Faaliyetten Hibesiz Olarak Yararlanma </w:t>
      </w:r>
      <w:r w:rsidR="006C5518" w:rsidRPr="00F766C8">
        <w:rPr>
          <w:rFonts w:ascii="Times New Roman" w:hAnsi="Times New Roman" w:cs="Times New Roman"/>
          <w:b/>
          <w:sz w:val="24"/>
          <w:szCs w:val="24"/>
          <w:lang w:val="tr-TR"/>
        </w:rPr>
        <w:t>İmkânı</w:t>
      </w:r>
    </w:p>
    <w:p w:rsidR="00CE6E90" w:rsidRPr="00CE6E90" w:rsidRDefault="00CE6E90" w:rsidP="00163F3A">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istediği takdirde hibe almaksızın faaliyete katılabilir. Faaliyetten hibesiz faydalanılabilmesi için başvuru yapılması ve başvurunun diğer başvurularla beraber değerlendirmeye tabi tutulması gerekmektedir. Hibe alınmaması personelin seçim sürecine </w:t>
      </w:r>
      <w:r w:rsidR="006C5518" w:rsidRPr="00CE6E90">
        <w:rPr>
          <w:rFonts w:ascii="Times New Roman" w:hAnsi="Times New Roman" w:cs="Times New Roman"/>
          <w:sz w:val="24"/>
          <w:szCs w:val="24"/>
          <w:lang w:val="tr-TR"/>
        </w:rPr>
        <w:t>dâhil</w:t>
      </w:r>
      <w:r w:rsidRPr="00CE6E90">
        <w:rPr>
          <w:rFonts w:ascii="Times New Roman" w:hAnsi="Times New Roman" w:cs="Times New Roman"/>
          <w:sz w:val="24"/>
          <w:szCs w:val="24"/>
          <w:lang w:val="tr-TR"/>
        </w:rPr>
        <w:t xml:space="preserve"> olmamasına gerekçe değildir. </w:t>
      </w:r>
    </w:p>
    <w:p w:rsidR="00CE6E90" w:rsidRPr="00CE6E90" w:rsidRDefault="00CE6E90" w:rsidP="00163F3A">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Bu belgede yer alan bilgiler Ulusal Ajans’ın yayınladığı Erasmus El Kitabı’ndan faydalanılarak yayınlanmıştır. Herhangi bir ihtilaf durumunda Erasmus El Kitabı’na göre hareket edilecektir.</w:t>
      </w:r>
      <w:r w:rsidR="00F766C8">
        <w:rPr>
          <w:rFonts w:ascii="Times New Roman" w:hAnsi="Times New Roman" w:cs="Times New Roman"/>
          <w:sz w:val="24"/>
          <w:szCs w:val="24"/>
          <w:lang w:val="tr-TR"/>
        </w:rPr>
        <w:t xml:space="preserve"> </w:t>
      </w:r>
    </w:p>
    <w:sectPr w:rsidR="00CE6E90" w:rsidRPr="00CE6E9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82B17"/>
    <w:multiLevelType w:val="hybridMultilevel"/>
    <w:tmpl w:val="BCD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402D16"/>
    <w:multiLevelType w:val="hybridMultilevel"/>
    <w:tmpl w:val="0316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12AEC"/>
    <w:multiLevelType w:val="multilevel"/>
    <w:tmpl w:val="BE3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36"/>
    <w:rsid w:val="000474F3"/>
    <w:rsid w:val="00066C64"/>
    <w:rsid w:val="000F35B2"/>
    <w:rsid w:val="00163F3A"/>
    <w:rsid w:val="001D6520"/>
    <w:rsid w:val="00265AC4"/>
    <w:rsid w:val="002D24FB"/>
    <w:rsid w:val="00331E78"/>
    <w:rsid w:val="00341384"/>
    <w:rsid w:val="00486C28"/>
    <w:rsid w:val="00493636"/>
    <w:rsid w:val="004A5A95"/>
    <w:rsid w:val="00501305"/>
    <w:rsid w:val="00601A36"/>
    <w:rsid w:val="00627D4C"/>
    <w:rsid w:val="00652B5B"/>
    <w:rsid w:val="006768CA"/>
    <w:rsid w:val="00695CB0"/>
    <w:rsid w:val="006C5518"/>
    <w:rsid w:val="007F7B69"/>
    <w:rsid w:val="00860FB8"/>
    <w:rsid w:val="008C276F"/>
    <w:rsid w:val="00A16477"/>
    <w:rsid w:val="00A476E2"/>
    <w:rsid w:val="00A65AD2"/>
    <w:rsid w:val="00A721AC"/>
    <w:rsid w:val="00B85113"/>
    <w:rsid w:val="00BF5130"/>
    <w:rsid w:val="00C06A61"/>
    <w:rsid w:val="00CE6E90"/>
    <w:rsid w:val="00D06282"/>
    <w:rsid w:val="00D36BFC"/>
    <w:rsid w:val="00DD7389"/>
    <w:rsid w:val="00E50583"/>
    <w:rsid w:val="00EA1386"/>
    <w:rsid w:val="00F710F1"/>
    <w:rsid w:val="00F766C8"/>
    <w:rsid w:val="00F918BB"/>
    <w:rsid w:val="00FC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5E9D5-6B62-4907-AEE3-AB5AD8A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1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6E9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E6E90"/>
    <w:rPr>
      <w:color w:val="0563C1" w:themeColor="hyperlink"/>
      <w:u w:val="single"/>
    </w:rPr>
  </w:style>
  <w:style w:type="paragraph" w:styleId="ListeParagraf">
    <w:name w:val="List Paragraph"/>
    <w:basedOn w:val="Normal"/>
    <w:uiPriority w:val="34"/>
    <w:qFormat/>
    <w:rsid w:val="00CE6E90"/>
    <w:pPr>
      <w:ind w:left="720"/>
      <w:contextualSpacing/>
    </w:pPr>
  </w:style>
  <w:style w:type="paragraph" w:styleId="NormalWeb">
    <w:name w:val="Normal (Web)"/>
    <w:basedOn w:val="Normal"/>
    <w:uiPriority w:val="99"/>
    <w:unhideWhenUsed/>
    <w:rsid w:val="008C276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8C2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52562">
      <w:bodyDiv w:val="1"/>
      <w:marLeft w:val="0"/>
      <w:marRight w:val="0"/>
      <w:marTop w:val="0"/>
      <w:marBottom w:val="0"/>
      <w:divBdr>
        <w:top w:val="none" w:sz="0" w:space="0" w:color="auto"/>
        <w:left w:val="none" w:sz="0" w:space="0" w:color="auto"/>
        <w:bottom w:val="none" w:sz="0" w:space="0" w:color="auto"/>
        <w:right w:val="none" w:sz="0" w:space="0" w:color="auto"/>
      </w:divBdr>
    </w:div>
    <w:div w:id="1436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programmes/erasmus-plus/tools/distance_en.htm" TargetMode="External"/><Relationship Id="rId5" Type="http://schemas.openxmlformats.org/officeDocument/2006/relationships/hyperlink" Target="https://erasmusbasvuru.ua.gov.tr/giris?returnUrl=%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1145</Words>
  <Characters>6531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DISOFIS</dc:creator>
  <cp:keywords/>
  <dc:description/>
  <cp:lastModifiedBy>DELL</cp:lastModifiedBy>
  <cp:revision>13</cp:revision>
  <dcterms:created xsi:type="dcterms:W3CDTF">2024-05-16T08:55:00Z</dcterms:created>
  <dcterms:modified xsi:type="dcterms:W3CDTF">2024-09-20T14:14:00Z</dcterms:modified>
</cp:coreProperties>
</file>