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50"/>
        <w:gridCol w:w="6289"/>
      </w:tblGrid>
      <w:tr w:rsidR="007D2DE1" w:rsidRPr="007D2DE1" w14:paraId="4EA2ECEA" w14:textId="77777777" w:rsidTr="007D2DE1">
        <w:trPr>
          <w:trHeight w:val="259"/>
          <w:jc w:val="center"/>
        </w:trPr>
        <w:tc>
          <w:tcPr>
            <w:tcW w:w="3547" w:type="dxa"/>
            <w:shd w:val="clear" w:color="auto" w:fill="auto"/>
          </w:tcPr>
          <w:p w14:paraId="36B4F3E4" w14:textId="77777777" w:rsidR="00011A3D" w:rsidRPr="007D2DE1" w:rsidRDefault="00011A3D" w:rsidP="004112E8">
            <w:pPr>
              <w:spacing w:line="239" w:lineRule="exact"/>
              <w:ind w:right="92"/>
              <w:rPr>
                <w:rFonts w:eastAsia="Caladea"/>
                <w:b/>
                <w:sz w:val="22"/>
                <w:szCs w:val="22"/>
                <w:lang w:val="tr-TR"/>
              </w:rPr>
            </w:pPr>
            <w:bookmarkStart w:id="0" w:name="_GoBack"/>
            <w:bookmarkEnd w:id="0"/>
            <w:r w:rsidRPr="007D2DE1">
              <w:rPr>
                <w:rFonts w:eastAsia="Caladea"/>
                <w:b/>
                <w:sz w:val="22"/>
                <w:szCs w:val="22"/>
                <w:lang w:val="tr-TR"/>
              </w:rPr>
              <w:t>Birimi</w:t>
            </w:r>
          </w:p>
        </w:tc>
        <w:tc>
          <w:tcPr>
            <w:tcW w:w="6660" w:type="dxa"/>
            <w:shd w:val="clear" w:color="auto" w:fill="auto"/>
          </w:tcPr>
          <w:p w14:paraId="56FD4DEA" w14:textId="77777777" w:rsidR="00011A3D" w:rsidRPr="007D2DE1" w:rsidRDefault="00011A3D" w:rsidP="00011A3D">
            <w:pPr>
              <w:spacing w:line="239" w:lineRule="exact"/>
              <w:ind w:left="107"/>
              <w:rPr>
                <w:rFonts w:eastAsia="Caladea"/>
                <w:sz w:val="22"/>
                <w:szCs w:val="22"/>
                <w:lang w:val="tr-TR"/>
              </w:rPr>
            </w:pPr>
            <w:r w:rsidRPr="007D2DE1">
              <w:rPr>
                <w:rFonts w:eastAsia="Caladea"/>
                <w:sz w:val="22"/>
                <w:szCs w:val="22"/>
                <w:lang w:val="tr-TR"/>
              </w:rPr>
              <w:t>Dış İlişkiler Ofisi</w:t>
            </w:r>
          </w:p>
        </w:tc>
      </w:tr>
      <w:tr w:rsidR="007D2DE1" w:rsidRPr="007D2DE1" w14:paraId="284A1F60" w14:textId="77777777" w:rsidTr="007D2DE1">
        <w:trPr>
          <w:trHeight w:val="256"/>
          <w:jc w:val="center"/>
        </w:trPr>
        <w:tc>
          <w:tcPr>
            <w:tcW w:w="3547" w:type="dxa"/>
            <w:shd w:val="clear" w:color="auto" w:fill="auto"/>
          </w:tcPr>
          <w:p w14:paraId="5B679DDB" w14:textId="77777777" w:rsidR="00011A3D" w:rsidRPr="007D2DE1" w:rsidRDefault="00011A3D" w:rsidP="004112E8">
            <w:pPr>
              <w:spacing w:line="236" w:lineRule="exact"/>
              <w:ind w:right="92"/>
              <w:rPr>
                <w:rFonts w:eastAsia="Caladea"/>
                <w:b/>
                <w:sz w:val="22"/>
                <w:szCs w:val="22"/>
                <w:lang w:val="tr-TR"/>
              </w:rPr>
            </w:pPr>
            <w:r w:rsidRPr="007D2DE1">
              <w:rPr>
                <w:rFonts w:eastAsia="Caladea"/>
                <w:b/>
                <w:sz w:val="22"/>
                <w:szCs w:val="22"/>
                <w:lang w:val="tr-TR"/>
              </w:rPr>
              <w:t>Görev Unvanı</w:t>
            </w:r>
          </w:p>
        </w:tc>
        <w:tc>
          <w:tcPr>
            <w:tcW w:w="6660" w:type="dxa"/>
            <w:shd w:val="clear" w:color="auto" w:fill="auto"/>
          </w:tcPr>
          <w:p w14:paraId="311FB406" w14:textId="77777777" w:rsidR="00011A3D" w:rsidRPr="007D2DE1" w:rsidRDefault="00011A3D" w:rsidP="00011A3D">
            <w:pPr>
              <w:spacing w:line="236" w:lineRule="exact"/>
              <w:ind w:left="107"/>
              <w:rPr>
                <w:rFonts w:eastAsia="Caladea"/>
                <w:sz w:val="22"/>
                <w:szCs w:val="22"/>
                <w:lang w:val="tr-TR"/>
              </w:rPr>
            </w:pPr>
            <w:r w:rsidRPr="007D2DE1">
              <w:rPr>
                <w:rFonts w:eastAsia="Caladea"/>
                <w:sz w:val="22"/>
                <w:szCs w:val="22"/>
                <w:lang w:val="tr-TR"/>
              </w:rPr>
              <w:t>İdari Personel</w:t>
            </w:r>
          </w:p>
        </w:tc>
      </w:tr>
      <w:tr w:rsidR="007D2DE1" w:rsidRPr="007D2DE1" w14:paraId="2B676B21" w14:textId="77777777" w:rsidTr="007D2DE1">
        <w:trPr>
          <w:trHeight w:val="258"/>
          <w:jc w:val="center"/>
        </w:trPr>
        <w:tc>
          <w:tcPr>
            <w:tcW w:w="3547" w:type="dxa"/>
            <w:shd w:val="clear" w:color="auto" w:fill="auto"/>
          </w:tcPr>
          <w:p w14:paraId="3EA26D82" w14:textId="77777777" w:rsidR="00011A3D" w:rsidRPr="007D2DE1" w:rsidRDefault="00011A3D" w:rsidP="004112E8">
            <w:pPr>
              <w:spacing w:line="239" w:lineRule="exact"/>
              <w:ind w:right="93"/>
              <w:rPr>
                <w:rFonts w:eastAsia="Caladea"/>
                <w:b/>
                <w:sz w:val="22"/>
                <w:szCs w:val="22"/>
                <w:lang w:val="tr-TR"/>
              </w:rPr>
            </w:pPr>
            <w:r w:rsidRPr="007D2DE1">
              <w:rPr>
                <w:rFonts w:eastAsia="Caladea"/>
                <w:b/>
                <w:sz w:val="22"/>
                <w:szCs w:val="22"/>
                <w:lang w:val="tr-TR"/>
              </w:rPr>
              <w:t>En Yakın Yönetici</w:t>
            </w:r>
          </w:p>
        </w:tc>
        <w:tc>
          <w:tcPr>
            <w:tcW w:w="6660" w:type="dxa"/>
            <w:shd w:val="clear" w:color="auto" w:fill="auto"/>
          </w:tcPr>
          <w:p w14:paraId="784FE093" w14:textId="77777777" w:rsidR="00011A3D" w:rsidRPr="007D2DE1" w:rsidRDefault="00011A3D" w:rsidP="00011A3D">
            <w:pPr>
              <w:spacing w:line="239" w:lineRule="exact"/>
              <w:ind w:left="107"/>
              <w:rPr>
                <w:rFonts w:eastAsia="Caladea"/>
                <w:sz w:val="22"/>
                <w:szCs w:val="22"/>
                <w:lang w:val="tr-TR"/>
              </w:rPr>
            </w:pPr>
            <w:r w:rsidRPr="007D2DE1">
              <w:rPr>
                <w:rFonts w:eastAsia="Caladea"/>
                <w:sz w:val="22"/>
                <w:szCs w:val="22"/>
                <w:lang w:val="tr-TR"/>
              </w:rPr>
              <w:t>Başkan, Başkan Yardımcısı, Koordinatör</w:t>
            </w:r>
          </w:p>
        </w:tc>
      </w:tr>
      <w:tr w:rsidR="007D2DE1" w:rsidRPr="007D2DE1" w14:paraId="1873E6F1" w14:textId="77777777" w:rsidTr="007D2DE1">
        <w:trPr>
          <w:trHeight w:val="258"/>
          <w:jc w:val="center"/>
        </w:trPr>
        <w:tc>
          <w:tcPr>
            <w:tcW w:w="3547" w:type="dxa"/>
            <w:shd w:val="clear" w:color="auto" w:fill="auto"/>
          </w:tcPr>
          <w:p w14:paraId="3985910D" w14:textId="77777777" w:rsidR="00011A3D" w:rsidRPr="007D2DE1" w:rsidRDefault="00011A3D" w:rsidP="004112E8">
            <w:pPr>
              <w:spacing w:line="239" w:lineRule="exact"/>
              <w:ind w:right="94"/>
              <w:rPr>
                <w:rFonts w:eastAsia="Caladea"/>
                <w:b/>
                <w:sz w:val="22"/>
                <w:szCs w:val="22"/>
                <w:lang w:val="tr-TR"/>
              </w:rPr>
            </w:pPr>
            <w:r w:rsidRPr="007D2DE1">
              <w:rPr>
                <w:rFonts w:eastAsia="Caladea"/>
                <w:b/>
                <w:sz w:val="22"/>
                <w:szCs w:val="22"/>
                <w:lang w:val="tr-TR"/>
              </w:rPr>
              <w:t>Yokluğunda Vekâlet Edecek</w:t>
            </w:r>
          </w:p>
        </w:tc>
        <w:tc>
          <w:tcPr>
            <w:tcW w:w="6660" w:type="dxa"/>
            <w:shd w:val="clear" w:color="auto" w:fill="auto"/>
          </w:tcPr>
          <w:p w14:paraId="541A852D" w14:textId="77777777" w:rsidR="00011A3D" w:rsidRPr="007D2DE1" w:rsidRDefault="00011A3D" w:rsidP="00011A3D">
            <w:pPr>
              <w:spacing w:line="239" w:lineRule="exact"/>
              <w:ind w:left="107"/>
              <w:jc w:val="both"/>
              <w:rPr>
                <w:rFonts w:eastAsia="Caladea"/>
                <w:sz w:val="22"/>
                <w:szCs w:val="22"/>
                <w:lang w:val="tr-TR"/>
              </w:rPr>
            </w:pPr>
            <w:r w:rsidRPr="007D2DE1">
              <w:rPr>
                <w:rFonts w:eastAsia="Caladea"/>
                <w:sz w:val="22"/>
                <w:szCs w:val="22"/>
                <w:lang w:val="tr-TR"/>
              </w:rPr>
              <w:t>Öğretim Görevlileri, Ofis Sekreteri</w:t>
            </w:r>
          </w:p>
        </w:tc>
      </w:tr>
    </w:tbl>
    <w:p w14:paraId="316F6BFE" w14:textId="77777777" w:rsidR="00011A3D" w:rsidRPr="00011A3D" w:rsidRDefault="00011A3D" w:rsidP="00011A3D">
      <w:pPr>
        <w:widowControl w:val="0"/>
        <w:autoSpaceDE w:val="0"/>
        <w:autoSpaceDN w:val="0"/>
        <w:spacing w:before="10"/>
        <w:rPr>
          <w:rFonts w:eastAsia="Caladea"/>
          <w:b/>
          <w:sz w:val="22"/>
          <w:szCs w:val="22"/>
          <w:lang w:val="tr-TR"/>
        </w:rPr>
      </w:pPr>
    </w:p>
    <w:tbl>
      <w:tblPr>
        <w:tblStyle w:val="TableNormal"/>
        <w:tblW w:w="96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639"/>
      </w:tblGrid>
      <w:tr w:rsidR="007D2DE1" w:rsidRPr="007D2DE1" w14:paraId="6E3CE374" w14:textId="77777777" w:rsidTr="007D2DE1">
        <w:trPr>
          <w:trHeight w:val="258"/>
          <w:jc w:val="center"/>
        </w:trPr>
        <w:tc>
          <w:tcPr>
            <w:tcW w:w="10207" w:type="dxa"/>
            <w:shd w:val="clear" w:color="auto" w:fill="auto"/>
          </w:tcPr>
          <w:p w14:paraId="1A8EAAD8" w14:textId="77777777" w:rsidR="00011A3D" w:rsidRPr="007D2DE1" w:rsidRDefault="00011A3D" w:rsidP="00011A3D">
            <w:pPr>
              <w:spacing w:line="239" w:lineRule="exact"/>
              <w:ind w:left="3275" w:right="3260"/>
              <w:jc w:val="center"/>
              <w:rPr>
                <w:rFonts w:eastAsia="Caladea"/>
                <w:b/>
                <w:sz w:val="22"/>
                <w:szCs w:val="22"/>
                <w:lang w:val="tr-TR"/>
              </w:rPr>
            </w:pPr>
            <w:r w:rsidRPr="007D2DE1">
              <w:rPr>
                <w:rFonts w:eastAsia="Caladea"/>
                <w:b/>
                <w:sz w:val="22"/>
                <w:szCs w:val="22"/>
                <w:lang w:val="tr-TR"/>
              </w:rPr>
              <w:t>Görevin/İşin Kısa Tanımı</w:t>
            </w:r>
          </w:p>
        </w:tc>
      </w:tr>
      <w:tr w:rsidR="007D2DE1" w:rsidRPr="007D2DE1" w14:paraId="0AD8448B" w14:textId="77777777" w:rsidTr="007D2DE1">
        <w:trPr>
          <w:trHeight w:val="1547"/>
          <w:jc w:val="center"/>
        </w:trPr>
        <w:tc>
          <w:tcPr>
            <w:tcW w:w="10207" w:type="dxa"/>
            <w:shd w:val="clear" w:color="auto" w:fill="auto"/>
          </w:tcPr>
          <w:p w14:paraId="30EEC1D1" w14:textId="77777777" w:rsidR="00011A3D" w:rsidRPr="007D2DE1" w:rsidRDefault="00011A3D" w:rsidP="00011A3D">
            <w:pPr>
              <w:spacing w:before="10"/>
              <w:rPr>
                <w:rFonts w:eastAsia="Caladea"/>
                <w:b/>
                <w:sz w:val="22"/>
                <w:szCs w:val="22"/>
                <w:lang w:val="tr-TR"/>
              </w:rPr>
            </w:pPr>
          </w:p>
          <w:p w14:paraId="528E3F53" w14:textId="77777777" w:rsidR="00011A3D" w:rsidRPr="007D2DE1" w:rsidRDefault="00011A3D" w:rsidP="00011A3D">
            <w:pPr>
              <w:ind w:left="132" w:right="92"/>
              <w:jc w:val="both"/>
              <w:rPr>
                <w:rFonts w:eastAsia="Caladea"/>
                <w:sz w:val="22"/>
                <w:szCs w:val="22"/>
                <w:lang w:val="tr-TR"/>
              </w:rPr>
            </w:pPr>
            <w:r w:rsidRPr="007D2DE1">
              <w:rPr>
                <w:rFonts w:eastAsia="Caladea"/>
                <w:sz w:val="22"/>
                <w:szCs w:val="22"/>
                <w:lang w:val="tr-TR"/>
              </w:rPr>
              <w:t>Kayseri Üniversitesi üst yönetimi tarafından belirlenen amaç ve ilkelere uygun olarak; Dış İlişkiler Ofisimizin vizyonu, misyonu doğrultusunda öğrenim ve personel hareketliliğini gerçekleştirmek için gerekli tüm faaliyetlerinin etkenlik ve verimlilik ilkelerine uygun olarak yürütülmesi amacıyla çalışmaları yapmak, planlamak, yönlendirmek, koordine etmek ve denetlemek.</w:t>
            </w:r>
          </w:p>
          <w:p w14:paraId="3620292C" w14:textId="77777777" w:rsidR="00011A3D" w:rsidRPr="007D2DE1" w:rsidRDefault="00011A3D" w:rsidP="00011A3D">
            <w:pPr>
              <w:ind w:left="132" w:right="92"/>
              <w:jc w:val="both"/>
              <w:rPr>
                <w:rFonts w:eastAsia="Caladea"/>
                <w:sz w:val="22"/>
                <w:szCs w:val="22"/>
                <w:lang w:val="tr-TR"/>
              </w:rPr>
            </w:pPr>
            <w:r w:rsidRPr="007D2DE1">
              <w:rPr>
                <w:rFonts w:eastAsia="Caladea"/>
                <w:sz w:val="22"/>
                <w:szCs w:val="22"/>
                <w:lang w:val="tr-TR"/>
              </w:rPr>
              <w:t>(1) Üniversitenin değişim anlaşmaları çerçevesinde gelen değişim öğrencileri ile öğretim elemanlarının ve gitmek üzere seçilen öğrenciler ile öğretim elemanlarının idari işlemlerinin yürütülmesi amacıyla başkanın önerisi ile Yönetim Kurulunca görevlendirilirler.</w:t>
            </w:r>
          </w:p>
        </w:tc>
      </w:tr>
    </w:tbl>
    <w:p w14:paraId="25CA4DE2" w14:textId="77777777" w:rsidR="00011A3D" w:rsidRPr="00011A3D" w:rsidRDefault="00011A3D" w:rsidP="00011A3D">
      <w:pPr>
        <w:widowControl w:val="0"/>
        <w:autoSpaceDE w:val="0"/>
        <w:autoSpaceDN w:val="0"/>
        <w:spacing w:before="10"/>
        <w:rPr>
          <w:rFonts w:eastAsia="Caladea"/>
          <w:b/>
          <w:sz w:val="22"/>
          <w:szCs w:val="22"/>
          <w:lang w:val="tr-TR"/>
        </w:rPr>
      </w:pPr>
    </w:p>
    <w:tbl>
      <w:tblPr>
        <w:tblStyle w:val="TableNormal"/>
        <w:tblW w:w="96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639"/>
      </w:tblGrid>
      <w:tr w:rsidR="007D2DE1" w:rsidRPr="007D2DE1" w14:paraId="5F68543F" w14:textId="77777777" w:rsidTr="00B67A30">
        <w:trPr>
          <w:trHeight w:val="258"/>
          <w:jc w:val="center"/>
        </w:trPr>
        <w:tc>
          <w:tcPr>
            <w:tcW w:w="10207" w:type="dxa"/>
            <w:shd w:val="clear" w:color="auto" w:fill="auto"/>
          </w:tcPr>
          <w:p w14:paraId="5D1A9238" w14:textId="77777777" w:rsidR="00011A3D" w:rsidRPr="007D2DE1" w:rsidRDefault="00011A3D" w:rsidP="007D2DE1">
            <w:pPr>
              <w:spacing w:line="237" w:lineRule="exact"/>
              <w:ind w:left="3275" w:right="3266"/>
              <w:jc w:val="center"/>
              <w:rPr>
                <w:rFonts w:eastAsia="Caladea"/>
                <w:b/>
                <w:sz w:val="22"/>
                <w:szCs w:val="22"/>
                <w:lang w:val="tr-TR"/>
              </w:rPr>
            </w:pPr>
            <w:r w:rsidRPr="007D2DE1">
              <w:rPr>
                <w:rFonts w:eastAsia="Caladea"/>
                <w:b/>
                <w:sz w:val="22"/>
                <w:szCs w:val="22"/>
                <w:lang w:val="tr-TR"/>
              </w:rPr>
              <w:t>Görev, Yetki ve Sorumluluklar</w:t>
            </w:r>
          </w:p>
        </w:tc>
      </w:tr>
      <w:tr w:rsidR="007D2DE1" w:rsidRPr="007D2DE1" w14:paraId="0D0A5E63" w14:textId="77777777" w:rsidTr="00011A3D">
        <w:trPr>
          <w:trHeight w:val="7146"/>
          <w:jc w:val="center"/>
        </w:trPr>
        <w:tc>
          <w:tcPr>
            <w:tcW w:w="10207" w:type="dxa"/>
          </w:tcPr>
          <w:p w14:paraId="4074CFED" w14:textId="77777777" w:rsidR="00011A3D" w:rsidRPr="007D2DE1" w:rsidRDefault="00011A3D" w:rsidP="007D2DE1">
            <w:pPr>
              <w:tabs>
                <w:tab w:val="left" w:pos="831"/>
              </w:tabs>
              <w:ind w:left="470" w:right="91"/>
              <w:jc w:val="both"/>
              <w:rPr>
                <w:rFonts w:eastAsia="Caladea"/>
                <w:b/>
                <w:bCs/>
                <w:sz w:val="22"/>
                <w:szCs w:val="22"/>
                <w:lang w:val="tr-TR"/>
              </w:rPr>
            </w:pPr>
          </w:p>
          <w:p w14:paraId="5C59852C" w14:textId="77777777" w:rsidR="00011A3D" w:rsidRPr="007D2DE1" w:rsidRDefault="00011A3D" w:rsidP="007D2DE1">
            <w:pPr>
              <w:tabs>
                <w:tab w:val="left" w:pos="831"/>
              </w:tabs>
              <w:ind w:left="470" w:right="91"/>
              <w:jc w:val="both"/>
              <w:rPr>
                <w:rFonts w:eastAsia="Caladea"/>
                <w:b/>
                <w:bCs/>
                <w:sz w:val="22"/>
                <w:szCs w:val="22"/>
                <w:lang w:val="tr-TR"/>
              </w:rPr>
            </w:pPr>
          </w:p>
          <w:p w14:paraId="7156CD29" w14:textId="77777777" w:rsidR="00011A3D" w:rsidRPr="007D2DE1" w:rsidRDefault="00011A3D" w:rsidP="007D2DE1">
            <w:pPr>
              <w:tabs>
                <w:tab w:val="left" w:pos="831"/>
              </w:tabs>
              <w:ind w:right="91"/>
              <w:jc w:val="both"/>
              <w:rPr>
                <w:rFonts w:eastAsia="Caladea"/>
                <w:b/>
                <w:bCs/>
                <w:sz w:val="22"/>
                <w:szCs w:val="22"/>
                <w:lang w:val="tr-TR"/>
              </w:rPr>
            </w:pPr>
          </w:p>
          <w:p w14:paraId="2A09987B" w14:textId="77777777" w:rsidR="00011A3D" w:rsidRPr="007D2DE1" w:rsidRDefault="00011A3D" w:rsidP="007D2DE1">
            <w:pPr>
              <w:numPr>
                <w:ilvl w:val="0"/>
                <w:numId w:val="5"/>
              </w:numPr>
              <w:tabs>
                <w:tab w:val="left" w:pos="831"/>
              </w:tabs>
              <w:ind w:right="91"/>
              <w:rPr>
                <w:rFonts w:eastAsia="Caladea"/>
                <w:b/>
                <w:bCs/>
                <w:sz w:val="22"/>
                <w:szCs w:val="22"/>
                <w:lang w:val="tr-TR"/>
              </w:rPr>
            </w:pPr>
            <w:r w:rsidRPr="007D2DE1">
              <w:rPr>
                <w:rFonts w:eastAsia="Caladea"/>
                <w:sz w:val="22"/>
                <w:szCs w:val="22"/>
                <w:lang w:val="tr-TR"/>
              </w:rPr>
              <w:t xml:space="preserve">Değişim programlarının üniversite içinde tanıtımı, tanıtım materyallerinin hazırlanması, ilgili üniversitelerle yazışmaların yürütülmesi, anlaşmaların yapılması ve güncellenmesi işlemlerinin yapılması, </w:t>
            </w:r>
          </w:p>
          <w:p w14:paraId="4D2B6074" w14:textId="77777777" w:rsidR="00011A3D" w:rsidRPr="007D2DE1" w:rsidRDefault="00011A3D" w:rsidP="007D2DE1">
            <w:pPr>
              <w:numPr>
                <w:ilvl w:val="0"/>
                <w:numId w:val="5"/>
              </w:numPr>
              <w:tabs>
                <w:tab w:val="left" w:pos="831"/>
              </w:tabs>
              <w:ind w:right="91"/>
              <w:rPr>
                <w:rFonts w:eastAsia="Caladea"/>
                <w:b/>
                <w:bCs/>
                <w:sz w:val="22"/>
                <w:szCs w:val="22"/>
                <w:lang w:val="tr-TR"/>
              </w:rPr>
            </w:pPr>
            <w:r w:rsidRPr="007D2DE1">
              <w:rPr>
                <w:rFonts w:eastAsia="Caladea"/>
                <w:sz w:val="22"/>
                <w:szCs w:val="22"/>
                <w:lang w:val="tr-TR"/>
              </w:rPr>
              <w:t xml:space="preserve">Ofis işlerinde gerekli olan tercümelerin yapılması, </w:t>
            </w:r>
          </w:p>
          <w:p w14:paraId="14201DB5" w14:textId="77777777" w:rsidR="00011A3D" w:rsidRPr="007D2DE1" w:rsidRDefault="00011A3D" w:rsidP="007D2DE1">
            <w:pPr>
              <w:numPr>
                <w:ilvl w:val="0"/>
                <w:numId w:val="5"/>
              </w:numPr>
              <w:tabs>
                <w:tab w:val="left" w:pos="831"/>
              </w:tabs>
              <w:ind w:right="91"/>
              <w:rPr>
                <w:rFonts w:eastAsia="Caladea"/>
                <w:b/>
                <w:bCs/>
                <w:sz w:val="22"/>
                <w:szCs w:val="22"/>
                <w:lang w:val="tr-TR"/>
              </w:rPr>
            </w:pPr>
            <w:r w:rsidRPr="007D2DE1">
              <w:rPr>
                <w:rFonts w:eastAsia="Caladea"/>
                <w:sz w:val="22"/>
                <w:szCs w:val="22"/>
                <w:lang w:val="tr-TR"/>
              </w:rPr>
              <w:t xml:space="preserve">Yurt içi ve yurt dışı, her türlü değişim programlarından ve iş birliği protokollerinden doğan anlaşma ve dış ilişkilerini, Öğrenci ve öğretim üyesi değişimi işlemlerinin koordine edilmesini sağlamak, </w:t>
            </w:r>
          </w:p>
          <w:p w14:paraId="2F205AE2" w14:textId="77777777" w:rsidR="00011A3D" w:rsidRPr="007D2DE1" w:rsidRDefault="00011A3D" w:rsidP="007D2DE1">
            <w:pPr>
              <w:numPr>
                <w:ilvl w:val="0"/>
                <w:numId w:val="5"/>
              </w:numPr>
              <w:tabs>
                <w:tab w:val="left" w:pos="831"/>
              </w:tabs>
              <w:ind w:right="91"/>
              <w:rPr>
                <w:rFonts w:eastAsia="Caladea"/>
                <w:b/>
                <w:bCs/>
                <w:sz w:val="22"/>
                <w:szCs w:val="22"/>
                <w:lang w:val="tr-TR"/>
              </w:rPr>
            </w:pPr>
            <w:r w:rsidRPr="007D2DE1">
              <w:rPr>
                <w:rFonts w:eastAsia="Caladea"/>
                <w:sz w:val="22"/>
                <w:szCs w:val="22"/>
                <w:lang w:val="tr-TR"/>
              </w:rPr>
              <w:t xml:space="preserve">Birimin yıllık performans programına ilişkin istatistiki bilgilerin ve yıllık faaliyet raporlarının hazırlanarak ilgili yerlere bildirilmesini sağlamak, </w:t>
            </w:r>
          </w:p>
          <w:p w14:paraId="074B5770" w14:textId="77777777" w:rsidR="00011A3D" w:rsidRPr="007D2DE1" w:rsidRDefault="00011A3D" w:rsidP="007D2DE1">
            <w:pPr>
              <w:numPr>
                <w:ilvl w:val="0"/>
                <w:numId w:val="5"/>
              </w:numPr>
              <w:tabs>
                <w:tab w:val="left" w:pos="831"/>
              </w:tabs>
              <w:ind w:right="91"/>
              <w:rPr>
                <w:rFonts w:eastAsia="Caladea"/>
                <w:b/>
                <w:bCs/>
                <w:sz w:val="22"/>
                <w:szCs w:val="22"/>
                <w:lang w:val="tr-TR"/>
              </w:rPr>
            </w:pPr>
            <w:r w:rsidRPr="007D2DE1">
              <w:rPr>
                <w:rFonts w:eastAsia="Caladea"/>
                <w:sz w:val="22"/>
                <w:szCs w:val="22"/>
                <w:lang w:val="tr-TR"/>
              </w:rPr>
              <w:t xml:space="preserve">Ofis ile ilgili kurs, eğitim, toplantı vb. katılım sağlamak, </w:t>
            </w:r>
          </w:p>
          <w:p w14:paraId="7066142A" w14:textId="77777777" w:rsidR="00011A3D" w:rsidRPr="007D2DE1" w:rsidRDefault="00011A3D" w:rsidP="007D2DE1">
            <w:pPr>
              <w:numPr>
                <w:ilvl w:val="0"/>
                <w:numId w:val="5"/>
              </w:numPr>
              <w:tabs>
                <w:tab w:val="left" w:pos="831"/>
              </w:tabs>
              <w:ind w:right="91"/>
              <w:rPr>
                <w:rFonts w:eastAsia="Caladea"/>
                <w:b/>
                <w:bCs/>
                <w:sz w:val="22"/>
                <w:szCs w:val="22"/>
                <w:lang w:val="tr-TR"/>
              </w:rPr>
            </w:pPr>
            <w:r w:rsidRPr="007D2DE1">
              <w:rPr>
                <w:rFonts w:eastAsia="Caladea"/>
                <w:sz w:val="22"/>
                <w:szCs w:val="22"/>
                <w:lang w:val="tr-TR"/>
              </w:rPr>
              <w:t>Ofis işlemleri ile ilgili üst yönetici/yöneticileri tarafından verilen diğer işler ve işlemlerin yapılmasını sağlamak.</w:t>
            </w:r>
          </w:p>
          <w:p w14:paraId="17207D1B" w14:textId="77777777" w:rsidR="00011A3D" w:rsidRPr="007D2DE1" w:rsidRDefault="00011A3D" w:rsidP="007D2DE1">
            <w:pPr>
              <w:tabs>
                <w:tab w:val="left" w:pos="831"/>
              </w:tabs>
              <w:ind w:left="830" w:right="91"/>
              <w:jc w:val="both"/>
              <w:rPr>
                <w:rFonts w:eastAsia="Caladea"/>
                <w:b/>
                <w:bCs/>
                <w:sz w:val="22"/>
                <w:szCs w:val="22"/>
                <w:lang w:val="tr-TR"/>
              </w:rPr>
            </w:pPr>
          </w:p>
          <w:p w14:paraId="546C335F" w14:textId="77777777" w:rsidR="00011A3D" w:rsidRPr="007D2DE1" w:rsidRDefault="00011A3D" w:rsidP="007D2DE1">
            <w:pPr>
              <w:tabs>
                <w:tab w:val="left" w:pos="831"/>
              </w:tabs>
              <w:ind w:left="830" w:right="91"/>
              <w:jc w:val="both"/>
              <w:rPr>
                <w:rFonts w:eastAsia="Caladea"/>
                <w:b/>
                <w:bCs/>
                <w:sz w:val="22"/>
                <w:szCs w:val="22"/>
                <w:lang w:val="tr-TR"/>
              </w:rPr>
            </w:pPr>
          </w:p>
          <w:p w14:paraId="55FBB70D" w14:textId="77777777" w:rsidR="00011A3D" w:rsidRPr="007D2DE1" w:rsidRDefault="00011A3D" w:rsidP="007D2DE1">
            <w:pPr>
              <w:numPr>
                <w:ilvl w:val="0"/>
                <w:numId w:val="4"/>
              </w:numPr>
              <w:tabs>
                <w:tab w:val="left" w:pos="831"/>
              </w:tabs>
              <w:ind w:right="91"/>
              <w:jc w:val="both"/>
              <w:rPr>
                <w:rFonts w:eastAsia="Caladea"/>
                <w:b/>
                <w:bCs/>
                <w:sz w:val="22"/>
                <w:szCs w:val="22"/>
                <w:lang w:val="tr-TR"/>
              </w:rPr>
            </w:pPr>
            <w:r w:rsidRPr="007D2DE1">
              <w:rPr>
                <w:rFonts w:eastAsia="Caladea"/>
                <w:b/>
                <w:bCs/>
                <w:sz w:val="22"/>
                <w:szCs w:val="22"/>
                <w:lang w:val="tr-TR"/>
              </w:rPr>
              <w:t>GÖREVİN GEREKTİRDİĞİ NİTELİKLER:</w:t>
            </w:r>
          </w:p>
          <w:p w14:paraId="34AA4B02" w14:textId="77777777" w:rsidR="00011A3D" w:rsidRPr="007D2DE1" w:rsidRDefault="00011A3D" w:rsidP="007D2DE1">
            <w:pPr>
              <w:numPr>
                <w:ilvl w:val="0"/>
                <w:numId w:val="4"/>
              </w:numPr>
              <w:tabs>
                <w:tab w:val="left" w:pos="831"/>
              </w:tabs>
              <w:ind w:right="91"/>
              <w:jc w:val="both"/>
              <w:rPr>
                <w:rFonts w:eastAsia="Caladea"/>
                <w:sz w:val="22"/>
                <w:szCs w:val="22"/>
                <w:lang w:val="tr-TR"/>
              </w:rPr>
            </w:pPr>
            <w:r w:rsidRPr="007D2DE1">
              <w:rPr>
                <w:rFonts w:eastAsia="Caladea"/>
                <w:sz w:val="22"/>
                <w:szCs w:val="22"/>
                <w:lang w:val="tr-TR"/>
              </w:rPr>
              <w:t>657 Sayılı Devlet Memurları Kanunu’nda ve 2547 Sayılı Yüksek Öğretim Kanunu’nda belirtilen genel niteliklere sahip olmak,</w:t>
            </w:r>
          </w:p>
          <w:p w14:paraId="040C6B0A" w14:textId="77777777" w:rsidR="00011A3D" w:rsidRPr="007D2DE1" w:rsidRDefault="00011A3D" w:rsidP="007D2DE1">
            <w:pPr>
              <w:numPr>
                <w:ilvl w:val="0"/>
                <w:numId w:val="4"/>
              </w:numPr>
              <w:tabs>
                <w:tab w:val="left" w:pos="831"/>
              </w:tabs>
              <w:ind w:right="91"/>
              <w:jc w:val="both"/>
              <w:rPr>
                <w:rFonts w:eastAsia="Caladea"/>
                <w:sz w:val="22"/>
                <w:szCs w:val="22"/>
                <w:lang w:val="tr-TR"/>
              </w:rPr>
            </w:pPr>
            <w:r w:rsidRPr="007D2DE1">
              <w:rPr>
                <w:rFonts w:eastAsia="Caladea"/>
                <w:sz w:val="22"/>
                <w:szCs w:val="22"/>
                <w:lang w:val="tr-TR"/>
              </w:rPr>
              <w:t>Görevinin gerektirdiği düzeyde iş deneyimine sahip olmak,</w:t>
            </w:r>
          </w:p>
          <w:p w14:paraId="6B7313E8" w14:textId="77777777" w:rsidR="00011A3D" w:rsidRPr="007D2DE1" w:rsidRDefault="00011A3D" w:rsidP="007D2DE1">
            <w:pPr>
              <w:numPr>
                <w:ilvl w:val="0"/>
                <w:numId w:val="4"/>
              </w:numPr>
              <w:tabs>
                <w:tab w:val="left" w:pos="831"/>
              </w:tabs>
              <w:ind w:right="91"/>
              <w:jc w:val="both"/>
              <w:rPr>
                <w:rFonts w:eastAsia="Caladea"/>
                <w:sz w:val="22"/>
                <w:szCs w:val="22"/>
                <w:lang w:val="tr-TR"/>
              </w:rPr>
            </w:pPr>
            <w:r w:rsidRPr="007D2DE1">
              <w:rPr>
                <w:rFonts w:eastAsia="Caladea"/>
                <w:sz w:val="22"/>
                <w:szCs w:val="22"/>
                <w:lang w:val="tr-TR"/>
              </w:rPr>
              <w:t>Yöneticilik niteliklerine sahip olmak; sevk ve idare gereklerini bilmek,</w:t>
            </w:r>
          </w:p>
          <w:p w14:paraId="38CF8ABE" w14:textId="77777777" w:rsidR="00011A3D" w:rsidRPr="007D2DE1" w:rsidRDefault="00011A3D" w:rsidP="007D2DE1">
            <w:pPr>
              <w:numPr>
                <w:ilvl w:val="0"/>
                <w:numId w:val="4"/>
              </w:numPr>
              <w:tabs>
                <w:tab w:val="left" w:pos="831"/>
              </w:tabs>
              <w:ind w:right="91"/>
              <w:jc w:val="both"/>
              <w:rPr>
                <w:rFonts w:eastAsia="Caladea"/>
                <w:sz w:val="22"/>
                <w:szCs w:val="22"/>
                <w:lang w:val="tr-TR"/>
              </w:rPr>
            </w:pPr>
            <w:r w:rsidRPr="007D2DE1">
              <w:rPr>
                <w:rFonts w:eastAsia="Caladea"/>
                <w:sz w:val="22"/>
                <w:szCs w:val="22"/>
                <w:lang w:val="tr-TR"/>
              </w:rPr>
              <w:t>Faaliyetlerini en iyi şekilde sürdürebilmesi için gerekli karar verme ve sorun çözme niteliklerine sahip olmak.</w:t>
            </w:r>
          </w:p>
        </w:tc>
      </w:tr>
    </w:tbl>
    <w:p w14:paraId="61D3BAC1" w14:textId="77777777" w:rsidR="00175412" w:rsidRPr="00175412" w:rsidRDefault="00175412" w:rsidP="00175412">
      <w:pPr>
        <w:rPr>
          <w:sz w:val="22"/>
          <w:szCs w:val="22"/>
          <w:lang w:val="tr-TR" w:eastAsia="tr-TR"/>
        </w:rPr>
      </w:pPr>
    </w:p>
    <w:p w14:paraId="12B06033" w14:textId="77777777" w:rsidR="00175412" w:rsidRPr="00175412" w:rsidRDefault="00175412" w:rsidP="00175412">
      <w:pPr>
        <w:rPr>
          <w:sz w:val="22"/>
          <w:szCs w:val="22"/>
          <w:lang w:val="tr-TR" w:eastAsia="tr-TR"/>
        </w:rPr>
      </w:pPr>
    </w:p>
    <w:p w14:paraId="03031159" w14:textId="1CDC5E7B"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27BD43D9"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22E09E5F"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E287862"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19F0139" w14:textId="77777777" w:rsidR="00063071" w:rsidRDefault="00063071" w:rsidP="00AE7B0D"/>
    <w:sectPr w:rsidR="00063071" w:rsidSect="00A4726D">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E1B6B" w14:textId="77777777" w:rsidR="004B373D" w:rsidRDefault="004B373D" w:rsidP="00FF08A6">
      <w:r>
        <w:separator/>
      </w:r>
    </w:p>
  </w:endnote>
  <w:endnote w:type="continuationSeparator" w:id="0">
    <w:p w14:paraId="52852BF6" w14:textId="77777777" w:rsidR="004B373D" w:rsidRDefault="004B373D" w:rsidP="00FF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839A" w14:textId="77777777" w:rsidR="00294983" w:rsidRDefault="0029498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6CF5F549"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2888E57C"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Hazırlayan</w:t>
          </w:r>
          <w:proofErr w:type="spellEnd"/>
        </w:p>
        <w:p w14:paraId="26D8904D" w14:textId="77777777" w:rsidR="00151ABA"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BKK</w:t>
          </w:r>
        </w:p>
        <w:p w14:paraId="5D24B409"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p w14:paraId="641BA3D8"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c>
        <w:tcPr>
          <w:tcW w:w="4817" w:type="dxa"/>
          <w:tcBorders>
            <w:top w:val="single" w:sz="4" w:space="0" w:color="BFBFBF"/>
            <w:left w:val="single" w:sz="4" w:space="0" w:color="BFBFBF"/>
            <w:bottom w:val="single" w:sz="4" w:space="0" w:color="BFBFBF"/>
            <w:right w:val="single" w:sz="4" w:space="0" w:color="BFBFBF"/>
          </w:tcBorders>
        </w:tcPr>
        <w:p w14:paraId="136988DD"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Onaylayan</w:t>
          </w:r>
          <w:proofErr w:type="spellEnd"/>
        </w:p>
        <w:p w14:paraId="52B42F45" w14:textId="77777777" w:rsidR="00D17E25"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 xml:space="preserve">KASGEM </w:t>
          </w:r>
        </w:p>
        <w:p w14:paraId="6586519E"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r>
  </w:tbl>
  <w:p w14:paraId="32CFD806"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09A0" w14:textId="77777777" w:rsidR="00294983" w:rsidRDefault="002949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665E" w14:textId="77777777" w:rsidR="004B373D" w:rsidRDefault="004B373D" w:rsidP="00FF08A6">
      <w:r>
        <w:separator/>
      </w:r>
    </w:p>
  </w:footnote>
  <w:footnote w:type="continuationSeparator" w:id="0">
    <w:p w14:paraId="127C4D82" w14:textId="77777777" w:rsidR="004B373D" w:rsidRDefault="004B373D" w:rsidP="00FF0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3476" w14:textId="77777777" w:rsidR="00294983" w:rsidRDefault="0029498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18"/>
      <w:gridCol w:w="4893"/>
      <w:gridCol w:w="1743"/>
      <w:gridCol w:w="1485"/>
    </w:tblGrid>
    <w:tr w:rsidR="003528CF" w:rsidRPr="00294983" w14:paraId="14224EF3" w14:textId="77777777" w:rsidTr="00547F21">
      <w:trPr>
        <w:trHeight w:hRule="exact" w:val="284"/>
        <w:jc w:val="center"/>
      </w:trPr>
      <w:tc>
        <w:tcPr>
          <w:tcW w:w="1560" w:type="dxa"/>
          <w:vMerge w:val="restart"/>
          <w:vAlign w:val="center"/>
        </w:tcPr>
        <w:p w14:paraId="3346E542" w14:textId="77777777" w:rsidR="00FF08A6" w:rsidRPr="00294983" w:rsidRDefault="0068274F" w:rsidP="00A4726D">
          <w:pPr>
            <w:jc w:val="right"/>
            <w:rPr>
              <w:rFonts w:eastAsia="Cambria"/>
              <w:sz w:val="22"/>
              <w:szCs w:val="22"/>
            </w:rPr>
          </w:pPr>
          <w:r w:rsidRPr="00294983">
            <w:rPr>
              <w:rFonts w:eastAsia="Cambria"/>
              <w:sz w:val="22"/>
              <w:szCs w:val="22"/>
            </w:rPr>
            <w:object w:dxaOrig="6637" w:dyaOrig="5688" w14:anchorId="1F62B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v:imagedata r:id="rId1" o:title="" croptop="-736f" cropbottom="-736f" cropleft="3781f" cropright="3151f"/>
              </v:shape>
              <o:OLEObject Type="Embed" ProgID="PBrush" ShapeID="_x0000_i1025" DrawAspect="Content" ObjectID="_1787557566" r:id="rId2"/>
            </w:object>
          </w:r>
          <w:r w:rsidR="00A4726D" w:rsidRPr="00294983">
            <w:rPr>
              <w:rFonts w:eastAsia="Cambria"/>
              <w:sz w:val="22"/>
              <w:szCs w:val="22"/>
            </w:rPr>
            <w:t xml:space="preserve"> </w:t>
          </w:r>
        </w:p>
      </w:tc>
      <w:tc>
        <w:tcPr>
          <w:tcW w:w="5045" w:type="dxa"/>
          <w:vMerge w:val="restart"/>
          <w:tcBorders>
            <w:bottom w:val="single" w:sz="4" w:space="0" w:color="auto"/>
          </w:tcBorders>
          <w:vAlign w:val="center"/>
        </w:tcPr>
        <w:p w14:paraId="252097A7" w14:textId="6E669943" w:rsidR="007E4DA5" w:rsidRPr="00294983" w:rsidRDefault="007E4DA5">
          <w:pPr>
            <w:rPr>
              <w:sz w:val="22"/>
              <w:szCs w:val="22"/>
            </w:rPr>
          </w:pPr>
        </w:p>
        <w:p w14:paraId="711296FF" w14:textId="7137B7FC" w:rsidR="007E4DA5" w:rsidRPr="00294983" w:rsidRDefault="007E4DA5">
          <w:pPr>
            <w:rPr>
              <w:sz w:val="22"/>
              <w:szCs w:val="22"/>
            </w:rPr>
          </w:pPr>
        </w:p>
        <w:p w14:paraId="120D840A" w14:textId="77777777" w:rsidR="007E4DA5" w:rsidRPr="00294983" w:rsidRDefault="007E4DA5" w:rsidP="007E4DA5">
          <w:pPr>
            <w:pStyle w:val="NormalWeb"/>
            <w:spacing w:before="0" w:beforeAutospacing="0" w:after="0" w:afterAutospacing="0"/>
            <w:jc w:val="center"/>
            <w:rPr>
              <w:sz w:val="22"/>
              <w:szCs w:val="22"/>
            </w:rPr>
          </w:pPr>
          <w:r w:rsidRPr="00294983">
            <w:rPr>
              <w:b/>
              <w:bCs/>
              <w:sz w:val="22"/>
              <w:szCs w:val="22"/>
            </w:rPr>
            <w:t xml:space="preserve">DIŞ İLİŞKİLER OFİSİ İDARİ PERSONEL </w:t>
          </w:r>
        </w:p>
        <w:p w14:paraId="2B8F2E14" w14:textId="77777777" w:rsidR="007E4DA5" w:rsidRPr="00294983" w:rsidRDefault="007E4DA5" w:rsidP="007E4DA5">
          <w:pPr>
            <w:pStyle w:val="NormalWeb"/>
            <w:spacing w:before="0" w:beforeAutospacing="0" w:after="0" w:afterAutospacing="0"/>
            <w:jc w:val="center"/>
            <w:rPr>
              <w:sz w:val="22"/>
              <w:szCs w:val="22"/>
            </w:rPr>
          </w:pPr>
          <w:r w:rsidRPr="00294983">
            <w:rPr>
              <w:b/>
              <w:bCs/>
              <w:sz w:val="22"/>
              <w:szCs w:val="22"/>
            </w:rPr>
            <w:t> GÖREV TANIMI</w:t>
          </w:r>
        </w:p>
        <w:p w14:paraId="019A286D" w14:textId="77777777" w:rsidR="007E4DA5" w:rsidRPr="00294983" w:rsidRDefault="007E4DA5">
          <w:pPr>
            <w:rPr>
              <w:sz w:val="22"/>
              <w:szCs w:val="22"/>
            </w:rPr>
          </w:pPr>
        </w:p>
        <w:tbl>
          <w:tblPr>
            <w:tblW w:w="4736" w:type="dxa"/>
            <w:jc w:val="center"/>
            <w:tblLayout w:type="fixed"/>
            <w:tblCellMar>
              <w:top w:w="15" w:type="dxa"/>
              <w:left w:w="15" w:type="dxa"/>
              <w:bottom w:w="15" w:type="dxa"/>
              <w:right w:w="15" w:type="dxa"/>
            </w:tblCellMar>
            <w:tblLook w:val="04A0" w:firstRow="1" w:lastRow="0" w:firstColumn="1" w:lastColumn="0" w:noHBand="0" w:noVBand="1"/>
          </w:tblPr>
          <w:tblGrid>
            <w:gridCol w:w="4736"/>
          </w:tblGrid>
          <w:tr w:rsidR="005F50D6" w:rsidRPr="00294983" w14:paraId="111D20B5" w14:textId="77777777" w:rsidTr="007E4DA5">
            <w:trPr>
              <w:trHeight w:val="433"/>
              <w:jc w:val="center"/>
            </w:trPr>
            <w:tc>
              <w:tcPr>
                <w:tcW w:w="4736" w:type="dxa"/>
                <w:vMerge w:val="restart"/>
                <w:tcMar>
                  <w:top w:w="0" w:type="dxa"/>
                  <w:left w:w="108" w:type="dxa"/>
                  <w:bottom w:w="0" w:type="dxa"/>
                  <w:right w:w="108" w:type="dxa"/>
                </w:tcMar>
                <w:hideMark/>
              </w:tcPr>
              <w:p w14:paraId="2971E2F9" w14:textId="77777777" w:rsidR="005F50D6" w:rsidRPr="00294983" w:rsidRDefault="005F50D6" w:rsidP="007E4DA5">
                <w:pPr>
                  <w:pStyle w:val="NormalWeb"/>
                  <w:spacing w:before="0" w:beforeAutospacing="0" w:after="0" w:afterAutospacing="0"/>
                  <w:jc w:val="center"/>
                  <w:rPr>
                    <w:rFonts w:eastAsia="Calibri"/>
                    <w:b/>
                    <w:color w:val="323E4F"/>
                    <w:sz w:val="22"/>
                    <w:szCs w:val="22"/>
                  </w:rPr>
                </w:pPr>
              </w:p>
            </w:tc>
          </w:tr>
          <w:tr w:rsidR="005F50D6" w:rsidRPr="00294983" w14:paraId="3548CE7B" w14:textId="77777777" w:rsidTr="007E4DA5">
            <w:trPr>
              <w:trHeight w:val="433"/>
              <w:jc w:val="center"/>
            </w:trPr>
            <w:tc>
              <w:tcPr>
                <w:tcW w:w="4736" w:type="dxa"/>
                <w:vMerge/>
                <w:vAlign w:val="center"/>
                <w:hideMark/>
              </w:tcPr>
              <w:p w14:paraId="257C86B7" w14:textId="77777777" w:rsidR="005F50D6" w:rsidRPr="00294983" w:rsidRDefault="005F50D6" w:rsidP="005F50D6">
                <w:pPr>
                  <w:spacing w:line="276" w:lineRule="auto"/>
                  <w:rPr>
                    <w:rFonts w:eastAsia="Calibri"/>
                    <w:b/>
                    <w:color w:val="323E4F"/>
                    <w:sz w:val="22"/>
                    <w:szCs w:val="22"/>
                    <w:lang w:val="tr-TR"/>
                  </w:rPr>
                </w:pPr>
              </w:p>
            </w:tc>
          </w:tr>
          <w:tr w:rsidR="005F50D6" w:rsidRPr="00294983" w14:paraId="62C40878" w14:textId="77777777" w:rsidTr="007E4DA5">
            <w:trPr>
              <w:trHeight w:val="433"/>
              <w:jc w:val="center"/>
            </w:trPr>
            <w:tc>
              <w:tcPr>
                <w:tcW w:w="4736" w:type="dxa"/>
                <w:vMerge/>
                <w:vAlign w:val="center"/>
                <w:hideMark/>
              </w:tcPr>
              <w:p w14:paraId="452620C5" w14:textId="77777777" w:rsidR="005F50D6" w:rsidRPr="00294983" w:rsidRDefault="005F50D6" w:rsidP="005F50D6">
                <w:pPr>
                  <w:spacing w:line="276" w:lineRule="auto"/>
                  <w:rPr>
                    <w:rFonts w:eastAsia="Calibri"/>
                    <w:b/>
                    <w:color w:val="323E4F"/>
                    <w:sz w:val="22"/>
                    <w:szCs w:val="22"/>
                    <w:lang w:val="tr-TR"/>
                  </w:rPr>
                </w:pPr>
              </w:p>
            </w:tc>
          </w:tr>
          <w:tr w:rsidR="005F50D6" w:rsidRPr="00294983" w14:paraId="4B27EA4D" w14:textId="77777777" w:rsidTr="007E4DA5">
            <w:trPr>
              <w:trHeight w:val="433"/>
              <w:jc w:val="center"/>
            </w:trPr>
            <w:tc>
              <w:tcPr>
                <w:tcW w:w="4736" w:type="dxa"/>
                <w:vMerge/>
                <w:vAlign w:val="center"/>
                <w:hideMark/>
              </w:tcPr>
              <w:p w14:paraId="1585DACF" w14:textId="77777777" w:rsidR="005F50D6" w:rsidRPr="00294983" w:rsidRDefault="005F50D6" w:rsidP="005F50D6">
                <w:pPr>
                  <w:spacing w:line="276" w:lineRule="auto"/>
                  <w:rPr>
                    <w:rFonts w:eastAsia="Calibri"/>
                    <w:b/>
                    <w:color w:val="323E4F"/>
                    <w:sz w:val="22"/>
                    <w:szCs w:val="22"/>
                    <w:lang w:val="tr-TR"/>
                  </w:rPr>
                </w:pPr>
              </w:p>
            </w:tc>
          </w:tr>
          <w:tr w:rsidR="005F50D6" w:rsidRPr="00294983" w14:paraId="21207641" w14:textId="77777777" w:rsidTr="007E4DA5">
            <w:trPr>
              <w:trHeight w:val="433"/>
              <w:jc w:val="center"/>
            </w:trPr>
            <w:tc>
              <w:tcPr>
                <w:tcW w:w="4736" w:type="dxa"/>
                <w:vMerge/>
                <w:vAlign w:val="center"/>
                <w:hideMark/>
              </w:tcPr>
              <w:p w14:paraId="5554612A" w14:textId="77777777" w:rsidR="005F50D6" w:rsidRPr="00294983" w:rsidRDefault="005F50D6" w:rsidP="005F50D6">
                <w:pPr>
                  <w:spacing w:line="276" w:lineRule="auto"/>
                  <w:rPr>
                    <w:rFonts w:eastAsia="Calibri"/>
                    <w:b/>
                    <w:color w:val="323E4F"/>
                    <w:sz w:val="22"/>
                    <w:szCs w:val="22"/>
                    <w:lang w:val="tr-TR"/>
                  </w:rPr>
                </w:pPr>
              </w:p>
            </w:tc>
          </w:tr>
        </w:tbl>
        <w:p w14:paraId="756567F6" w14:textId="77777777" w:rsidR="00AE7B0D" w:rsidRPr="00294983" w:rsidRDefault="00AE7B0D" w:rsidP="007F50F7">
          <w:pPr>
            <w:spacing w:line="276" w:lineRule="auto"/>
            <w:rPr>
              <w:rFonts w:eastAsia="Calibri"/>
              <w:b/>
              <w:color w:val="323E4F"/>
              <w:sz w:val="22"/>
              <w:szCs w:val="22"/>
            </w:rPr>
          </w:pPr>
        </w:p>
        <w:p w14:paraId="4E524C17" w14:textId="77777777" w:rsidR="00AE7B0D" w:rsidRPr="00294983" w:rsidRDefault="00AE7B0D" w:rsidP="00AE7B0D">
          <w:pPr>
            <w:spacing w:line="276" w:lineRule="auto"/>
            <w:jc w:val="center"/>
            <w:rPr>
              <w:b/>
              <w:sz w:val="22"/>
              <w:szCs w:val="22"/>
            </w:rPr>
          </w:pPr>
        </w:p>
        <w:p w14:paraId="463DF4C8" w14:textId="77777777" w:rsidR="00AE7B0D" w:rsidRPr="00294983" w:rsidRDefault="00AE7B0D" w:rsidP="00AE7B0D">
          <w:pPr>
            <w:spacing w:line="276" w:lineRule="auto"/>
            <w:jc w:val="center"/>
            <w:rPr>
              <w:b/>
              <w:sz w:val="22"/>
              <w:szCs w:val="22"/>
            </w:rPr>
          </w:pPr>
        </w:p>
        <w:p w14:paraId="51E4821C" w14:textId="77777777" w:rsidR="00AE7B0D" w:rsidRPr="00294983" w:rsidRDefault="00AE7B0D" w:rsidP="00AE7B0D">
          <w:pPr>
            <w:spacing w:line="276" w:lineRule="auto"/>
            <w:jc w:val="center"/>
            <w:rPr>
              <w:b/>
              <w:sz w:val="22"/>
              <w:szCs w:val="22"/>
            </w:rPr>
          </w:pPr>
        </w:p>
        <w:p w14:paraId="466043C3" w14:textId="77777777" w:rsidR="00AE7B0D" w:rsidRPr="00294983" w:rsidRDefault="00AE7B0D" w:rsidP="00AE7B0D">
          <w:pPr>
            <w:spacing w:line="276" w:lineRule="auto"/>
            <w:jc w:val="center"/>
            <w:rPr>
              <w:b/>
              <w:sz w:val="22"/>
              <w:szCs w:val="22"/>
            </w:rPr>
          </w:pPr>
        </w:p>
        <w:p w14:paraId="761476A3" w14:textId="77777777" w:rsidR="00FF08A6" w:rsidRPr="00294983" w:rsidRDefault="00FF08A6" w:rsidP="00A4726D">
          <w:pPr>
            <w:spacing w:line="276" w:lineRule="auto"/>
            <w:jc w:val="center"/>
            <w:rPr>
              <w:b/>
              <w:sz w:val="22"/>
              <w:szCs w:val="22"/>
            </w:rPr>
          </w:pPr>
        </w:p>
      </w:tc>
      <w:tc>
        <w:tcPr>
          <w:tcW w:w="1792" w:type="dxa"/>
          <w:vAlign w:val="center"/>
        </w:tcPr>
        <w:p w14:paraId="0A185383" w14:textId="77777777" w:rsidR="00FF08A6" w:rsidRPr="00294983" w:rsidRDefault="00FF08A6" w:rsidP="00FF08A6">
          <w:pPr>
            <w:rPr>
              <w:sz w:val="22"/>
              <w:szCs w:val="22"/>
            </w:rPr>
          </w:pPr>
          <w:proofErr w:type="spellStart"/>
          <w:r w:rsidRPr="00294983">
            <w:rPr>
              <w:sz w:val="22"/>
              <w:szCs w:val="22"/>
            </w:rPr>
            <w:t>Doküman</w:t>
          </w:r>
          <w:proofErr w:type="spellEnd"/>
          <w:r w:rsidRPr="00294983">
            <w:rPr>
              <w:sz w:val="22"/>
              <w:szCs w:val="22"/>
            </w:rPr>
            <w:t xml:space="preserve"> No</w:t>
          </w:r>
        </w:p>
      </w:tc>
      <w:tc>
        <w:tcPr>
          <w:tcW w:w="1526" w:type="dxa"/>
          <w:vAlign w:val="center"/>
        </w:tcPr>
        <w:p w14:paraId="62488BA6" w14:textId="50B373A9" w:rsidR="00FF08A6" w:rsidRPr="00294983" w:rsidRDefault="007E4DA5" w:rsidP="00FF08A6">
          <w:pPr>
            <w:rPr>
              <w:sz w:val="22"/>
              <w:szCs w:val="22"/>
            </w:rPr>
          </w:pPr>
          <w:r w:rsidRPr="00294983">
            <w:rPr>
              <w:sz w:val="22"/>
              <w:szCs w:val="22"/>
            </w:rPr>
            <w:t>GT-037</w:t>
          </w:r>
        </w:p>
      </w:tc>
    </w:tr>
    <w:tr w:rsidR="003528CF" w:rsidRPr="00294983" w14:paraId="2ED88E55" w14:textId="77777777" w:rsidTr="00547F21">
      <w:trPr>
        <w:trHeight w:hRule="exact" w:val="284"/>
        <w:jc w:val="center"/>
      </w:trPr>
      <w:tc>
        <w:tcPr>
          <w:tcW w:w="1560" w:type="dxa"/>
          <w:vMerge/>
          <w:vAlign w:val="center"/>
        </w:tcPr>
        <w:p w14:paraId="033B8C7C" w14:textId="77777777" w:rsidR="00FF08A6" w:rsidRPr="00294983"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1E891A1C" w14:textId="77777777" w:rsidR="00FF08A6" w:rsidRPr="00294983"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0CBB6C55" w14:textId="77777777" w:rsidR="00FF08A6" w:rsidRPr="00294983" w:rsidRDefault="00FF08A6" w:rsidP="00FF08A6">
          <w:pPr>
            <w:rPr>
              <w:sz w:val="22"/>
              <w:szCs w:val="22"/>
            </w:rPr>
          </w:pPr>
          <w:r w:rsidRPr="00294983">
            <w:rPr>
              <w:sz w:val="22"/>
              <w:szCs w:val="22"/>
            </w:rPr>
            <w:t xml:space="preserve">İlk Yayın </w:t>
          </w:r>
          <w:proofErr w:type="spellStart"/>
          <w:r w:rsidRPr="00294983">
            <w:rPr>
              <w:sz w:val="22"/>
              <w:szCs w:val="22"/>
            </w:rPr>
            <w:t>Tarihi</w:t>
          </w:r>
          <w:proofErr w:type="spellEnd"/>
        </w:p>
      </w:tc>
      <w:tc>
        <w:tcPr>
          <w:tcW w:w="1526" w:type="dxa"/>
          <w:vAlign w:val="center"/>
        </w:tcPr>
        <w:p w14:paraId="0D37C04A" w14:textId="629E88E5" w:rsidR="00FF08A6" w:rsidRPr="00294983" w:rsidRDefault="00294983" w:rsidP="00FF08A6">
          <w:pPr>
            <w:rPr>
              <w:sz w:val="22"/>
              <w:szCs w:val="22"/>
            </w:rPr>
          </w:pPr>
          <w:r w:rsidRPr="00294983">
            <w:rPr>
              <w:sz w:val="22"/>
              <w:szCs w:val="22"/>
            </w:rPr>
            <w:t>8/02/2022</w:t>
          </w:r>
        </w:p>
      </w:tc>
    </w:tr>
    <w:tr w:rsidR="003528CF" w:rsidRPr="00294983" w14:paraId="25237638" w14:textId="77777777" w:rsidTr="00547F21">
      <w:trPr>
        <w:trHeight w:hRule="exact" w:val="284"/>
        <w:jc w:val="center"/>
      </w:trPr>
      <w:tc>
        <w:tcPr>
          <w:tcW w:w="1560" w:type="dxa"/>
          <w:vMerge/>
          <w:vAlign w:val="center"/>
        </w:tcPr>
        <w:p w14:paraId="44D9163D" w14:textId="77777777" w:rsidR="00FF08A6" w:rsidRPr="00294983"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57370750" w14:textId="77777777" w:rsidR="00FF08A6" w:rsidRPr="00294983"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75206A24" w14:textId="77777777" w:rsidR="00FF08A6" w:rsidRPr="00294983" w:rsidRDefault="00FF08A6" w:rsidP="00FF08A6">
          <w:pPr>
            <w:rPr>
              <w:sz w:val="22"/>
              <w:szCs w:val="22"/>
            </w:rPr>
          </w:pPr>
          <w:proofErr w:type="spellStart"/>
          <w:r w:rsidRPr="00294983">
            <w:rPr>
              <w:sz w:val="22"/>
              <w:szCs w:val="22"/>
            </w:rPr>
            <w:t>Revizyon</w:t>
          </w:r>
          <w:proofErr w:type="spellEnd"/>
          <w:r w:rsidRPr="00294983">
            <w:rPr>
              <w:sz w:val="22"/>
              <w:szCs w:val="22"/>
            </w:rPr>
            <w:t xml:space="preserve"> </w:t>
          </w:r>
          <w:proofErr w:type="spellStart"/>
          <w:r w:rsidRPr="00294983">
            <w:rPr>
              <w:sz w:val="22"/>
              <w:szCs w:val="22"/>
            </w:rPr>
            <w:t>Tarihi</w:t>
          </w:r>
          <w:proofErr w:type="spellEnd"/>
        </w:p>
      </w:tc>
      <w:tc>
        <w:tcPr>
          <w:tcW w:w="1526" w:type="dxa"/>
          <w:vAlign w:val="center"/>
        </w:tcPr>
        <w:p w14:paraId="7794DE5C" w14:textId="77777777" w:rsidR="00FF08A6" w:rsidRPr="00294983" w:rsidRDefault="00FF08A6" w:rsidP="00FF08A6">
          <w:pPr>
            <w:rPr>
              <w:sz w:val="22"/>
              <w:szCs w:val="22"/>
            </w:rPr>
          </w:pPr>
          <w:r w:rsidRPr="00294983">
            <w:rPr>
              <w:sz w:val="22"/>
              <w:szCs w:val="22"/>
            </w:rPr>
            <w:t>-</w:t>
          </w:r>
        </w:p>
      </w:tc>
    </w:tr>
    <w:tr w:rsidR="003528CF" w:rsidRPr="00294983" w14:paraId="2DAE8323" w14:textId="77777777" w:rsidTr="00547F21">
      <w:trPr>
        <w:trHeight w:hRule="exact" w:val="284"/>
        <w:jc w:val="center"/>
      </w:trPr>
      <w:tc>
        <w:tcPr>
          <w:tcW w:w="1560" w:type="dxa"/>
          <w:vMerge/>
          <w:vAlign w:val="center"/>
        </w:tcPr>
        <w:p w14:paraId="5C7B137D" w14:textId="77777777" w:rsidR="00FF08A6" w:rsidRPr="00294983"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78A797BF" w14:textId="77777777" w:rsidR="00FF08A6" w:rsidRPr="00294983"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50756575" w14:textId="77777777" w:rsidR="00FF08A6" w:rsidRPr="00294983" w:rsidRDefault="00FF08A6" w:rsidP="00FF08A6">
          <w:pPr>
            <w:rPr>
              <w:sz w:val="22"/>
              <w:szCs w:val="22"/>
            </w:rPr>
          </w:pPr>
          <w:proofErr w:type="spellStart"/>
          <w:r w:rsidRPr="00294983">
            <w:rPr>
              <w:sz w:val="22"/>
              <w:szCs w:val="22"/>
            </w:rPr>
            <w:t>Revizyon</w:t>
          </w:r>
          <w:proofErr w:type="spellEnd"/>
          <w:r w:rsidRPr="00294983">
            <w:rPr>
              <w:sz w:val="22"/>
              <w:szCs w:val="22"/>
            </w:rPr>
            <w:t xml:space="preserve"> No</w:t>
          </w:r>
        </w:p>
      </w:tc>
      <w:tc>
        <w:tcPr>
          <w:tcW w:w="1526" w:type="dxa"/>
          <w:vAlign w:val="center"/>
        </w:tcPr>
        <w:p w14:paraId="42C22913" w14:textId="77777777" w:rsidR="00FF08A6" w:rsidRPr="00294983" w:rsidRDefault="007F50F7" w:rsidP="00FF08A6">
          <w:pPr>
            <w:rPr>
              <w:sz w:val="22"/>
              <w:szCs w:val="22"/>
            </w:rPr>
          </w:pPr>
          <w:r w:rsidRPr="00294983">
            <w:rPr>
              <w:sz w:val="22"/>
              <w:szCs w:val="22"/>
            </w:rPr>
            <w:t>0</w:t>
          </w:r>
        </w:p>
      </w:tc>
    </w:tr>
    <w:tr w:rsidR="003528CF" w:rsidRPr="00294983" w14:paraId="7AB818A1" w14:textId="77777777" w:rsidTr="00547F21">
      <w:trPr>
        <w:trHeight w:hRule="exact" w:val="284"/>
        <w:jc w:val="center"/>
      </w:trPr>
      <w:tc>
        <w:tcPr>
          <w:tcW w:w="1560" w:type="dxa"/>
          <w:vMerge/>
          <w:vAlign w:val="center"/>
        </w:tcPr>
        <w:p w14:paraId="1AE9A943" w14:textId="77777777" w:rsidR="00FF08A6" w:rsidRPr="00294983"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tcBorders>
          <w:vAlign w:val="center"/>
        </w:tcPr>
        <w:p w14:paraId="110F3720" w14:textId="77777777" w:rsidR="00FF08A6" w:rsidRPr="00294983"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0FC27A8E" w14:textId="77777777" w:rsidR="00FF08A6" w:rsidRPr="00294983" w:rsidRDefault="00FF08A6" w:rsidP="00FF08A6">
          <w:pPr>
            <w:rPr>
              <w:sz w:val="22"/>
              <w:szCs w:val="22"/>
            </w:rPr>
          </w:pPr>
          <w:proofErr w:type="spellStart"/>
          <w:r w:rsidRPr="00294983">
            <w:rPr>
              <w:sz w:val="22"/>
              <w:szCs w:val="22"/>
            </w:rPr>
            <w:t>Sayfa</w:t>
          </w:r>
          <w:proofErr w:type="spellEnd"/>
          <w:r w:rsidRPr="00294983">
            <w:rPr>
              <w:sz w:val="22"/>
              <w:szCs w:val="22"/>
            </w:rPr>
            <w:t xml:space="preserve"> No</w:t>
          </w:r>
        </w:p>
      </w:tc>
      <w:tc>
        <w:tcPr>
          <w:tcW w:w="1526" w:type="dxa"/>
          <w:vAlign w:val="center"/>
        </w:tcPr>
        <w:p w14:paraId="32E44858" w14:textId="77777777" w:rsidR="00FF08A6" w:rsidRPr="00294983" w:rsidRDefault="00FF08A6" w:rsidP="00FF08A6">
          <w:pPr>
            <w:rPr>
              <w:sz w:val="22"/>
              <w:szCs w:val="22"/>
            </w:rPr>
          </w:pPr>
          <w:r w:rsidRPr="00294983">
            <w:rPr>
              <w:sz w:val="22"/>
              <w:szCs w:val="22"/>
            </w:rPr>
            <w:t>1/1</w:t>
          </w:r>
        </w:p>
      </w:tc>
    </w:tr>
  </w:tbl>
  <w:p w14:paraId="0395CF54"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AEB9" w14:textId="77777777" w:rsidR="00294983" w:rsidRDefault="0029498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94FA0"/>
    <w:multiLevelType w:val="hybridMultilevel"/>
    <w:tmpl w:val="C7C67962"/>
    <w:lvl w:ilvl="0" w:tplc="5B183882">
      <w:numFmt w:val="bullet"/>
      <w:lvlText w:val=""/>
      <w:lvlJc w:val="left"/>
      <w:pPr>
        <w:ind w:left="830" w:hanging="360"/>
      </w:pPr>
      <w:rPr>
        <w:rFonts w:ascii="Symbol" w:eastAsia="Symbol" w:hAnsi="Symbol" w:cs="Symbol" w:hint="default"/>
        <w:w w:val="100"/>
        <w:sz w:val="22"/>
        <w:szCs w:val="22"/>
        <w:lang w:val="tr-TR" w:eastAsia="en-US" w:bidi="ar-SA"/>
      </w:rPr>
    </w:lvl>
    <w:lvl w:ilvl="1" w:tplc="27CC0276">
      <w:numFmt w:val="bullet"/>
      <w:lvlText w:val="•"/>
      <w:lvlJc w:val="left"/>
      <w:pPr>
        <w:ind w:left="1718" w:hanging="360"/>
      </w:pPr>
      <w:rPr>
        <w:rFonts w:hint="default"/>
        <w:lang w:val="tr-TR" w:eastAsia="en-US" w:bidi="ar-SA"/>
      </w:rPr>
    </w:lvl>
    <w:lvl w:ilvl="2" w:tplc="CFE8B32C">
      <w:numFmt w:val="bullet"/>
      <w:lvlText w:val="•"/>
      <w:lvlJc w:val="left"/>
      <w:pPr>
        <w:ind w:left="2597" w:hanging="360"/>
      </w:pPr>
      <w:rPr>
        <w:rFonts w:hint="default"/>
        <w:lang w:val="tr-TR" w:eastAsia="en-US" w:bidi="ar-SA"/>
      </w:rPr>
    </w:lvl>
    <w:lvl w:ilvl="3" w:tplc="45BEEC80">
      <w:numFmt w:val="bullet"/>
      <w:lvlText w:val="•"/>
      <w:lvlJc w:val="left"/>
      <w:pPr>
        <w:ind w:left="3475" w:hanging="360"/>
      </w:pPr>
      <w:rPr>
        <w:rFonts w:hint="default"/>
        <w:lang w:val="tr-TR" w:eastAsia="en-US" w:bidi="ar-SA"/>
      </w:rPr>
    </w:lvl>
    <w:lvl w:ilvl="4" w:tplc="B15EE258">
      <w:numFmt w:val="bullet"/>
      <w:lvlText w:val="•"/>
      <w:lvlJc w:val="left"/>
      <w:pPr>
        <w:ind w:left="4354" w:hanging="360"/>
      </w:pPr>
      <w:rPr>
        <w:rFonts w:hint="default"/>
        <w:lang w:val="tr-TR" w:eastAsia="en-US" w:bidi="ar-SA"/>
      </w:rPr>
    </w:lvl>
    <w:lvl w:ilvl="5" w:tplc="D850086A">
      <w:numFmt w:val="bullet"/>
      <w:lvlText w:val="•"/>
      <w:lvlJc w:val="left"/>
      <w:pPr>
        <w:ind w:left="5233" w:hanging="360"/>
      </w:pPr>
      <w:rPr>
        <w:rFonts w:hint="default"/>
        <w:lang w:val="tr-TR" w:eastAsia="en-US" w:bidi="ar-SA"/>
      </w:rPr>
    </w:lvl>
    <w:lvl w:ilvl="6" w:tplc="4F2243EE">
      <w:numFmt w:val="bullet"/>
      <w:lvlText w:val="•"/>
      <w:lvlJc w:val="left"/>
      <w:pPr>
        <w:ind w:left="6111" w:hanging="360"/>
      </w:pPr>
      <w:rPr>
        <w:rFonts w:hint="default"/>
        <w:lang w:val="tr-TR" w:eastAsia="en-US" w:bidi="ar-SA"/>
      </w:rPr>
    </w:lvl>
    <w:lvl w:ilvl="7" w:tplc="8EE67F6A">
      <w:numFmt w:val="bullet"/>
      <w:lvlText w:val="•"/>
      <w:lvlJc w:val="left"/>
      <w:pPr>
        <w:ind w:left="6990" w:hanging="360"/>
      </w:pPr>
      <w:rPr>
        <w:rFonts w:hint="default"/>
        <w:lang w:val="tr-TR" w:eastAsia="en-US" w:bidi="ar-SA"/>
      </w:rPr>
    </w:lvl>
    <w:lvl w:ilvl="8" w:tplc="914A40BC">
      <w:numFmt w:val="bullet"/>
      <w:lvlText w:val="•"/>
      <w:lvlJc w:val="left"/>
      <w:pPr>
        <w:ind w:left="7868" w:hanging="360"/>
      </w:pPr>
      <w:rPr>
        <w:rFonts w:hint="default"/>
        <w:lang w:val="tr-TR" w:eastAsia="en-US" w:bidi="ar-SA"/>
      </w:rPr>
    </w:lvl>
  </w:abstractNum>
  <w:abstractNum w:abstractNumId="1" w15:restartNumberingAfterBreak="0">
    <w:nsid w:val="270F264C"/>
    <w:multiLevelType w:val="multilevel"/>
    <w:tmpl w:val="B14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D3B5C"/>
    <w:multiLevelType w:val="hybridMultilevel"/>
    <w:tmpl w:val="FBB63C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27315D2"/>
    <w:multiLevelType w:val="hybridMultilevel"/>
    <w:tmpl w:val="9E3E1E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57425BE"/>
    <w:multiLevelType w:val="hybridMultilevel"/>
    <w:tmpl w:val="3AC4DC5A"/>
    <w:lvl w:ilvl="0" w:tplc="04070001">
      <w:start w:val="1"/>
      <w:numFmt w:val="bullet"/>
      <w:lvlText w:val=""/>
      <w:lvlJc w:val="left"/>
      <w:pPr>
        <w:ind w:left="1550" w:hanging="360"/>
      </w:pPr>
      <w:rPr>
        <w:rFonts w:ascii="Symbol" w:hAnsi="Symbol" w:hint="default"/>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1A3D"/>
    <w:rsid w:val="0001344B"/>
    <w:rsid w:val="000261EE"/>
    <w:rsid w:val="00063071"/>
    <w:rsid w:val="000C3F4D"/>
    <w:rsid w:val="001008FB"/>
    <w:rsid w:val="00151ABA"/>
    <w:rsid w:val="00152DAF"/>
    <w:rsid w:val="00175412"/>
    <w:rsid w:val="00175722"/>
    <w:rsid w:val="00186616"/>
    <w:rsid w:val="001C290A"/>
    <w:rsid w:val="002754A0"/>
    <w:rsid w:val="00294983"/>
    <w:rsid w:val="002E5890"/>
    <w:rsid w:val="00336BDC"/>
    <w:rsid w:val="003528CF"/>
    <w:rsid w:val="00367FFC"/>
    <w:rsid w:val="003D0F6C"/>
    <w:rsid w:val="003D2D38"/>
    <w:rsid w:val="00411010"/>
    <w:rsid w:val="004112E8"/>
    <w:rsid w:val="0048082B"/>
    <w:rsid w:val="004B373D"/>
    <w:rsid w:val="005433B4"/>
    <w:rsid w:val="00547F21"/>
    <w:rsid w:val="00554A93"/>
    <w:rsid w:val="00565210"/>
    <w:rsid w:val="005761A9"/>
    <w:rsid w:val="00596A20"/>
    <w:rsid w:val="005F50D6"/>
    <w:rsid w:val="00607331"/>
    <w:rsid w:val="006167D9"/>
    <w:rsid w:val="0068274F"/>
    <w:rsid w:val="006C4AFC"/>
    <w:rsid w:val="006D67AC"/>
    <w:rsid w:val="007D2DE1"/>
    <w:rsid w:val="007D48AB"/>
    <w:rsid w:val="007D5976"/>
    <w:rsid w:val="007E4DA5"/>
    <w:rsid w:val="007F50F7"/>
    <w:rsid w:val="008E3FF8"/>
    <w:rsid w:val="00961464"/>
    <w:rsid w:val="00A27661"/>
    <w:rsid w:val="00A33119"/>
    <w:rsid w:val="00A331EF"/>
    <w:rsid w:val="00A4726D"/>
    <w:rsid w:val="00AC62D1"/>
    <w:rsid w:val="00AE7B0D"/>
    <w:rsid w:val="00B46380"/>
    <w:rsid w:val="00B63D44"/>
    <w:rsid w:val="00B67A30"/>
    <w:rsid w:val="00BD2C6B"/>
    <w:rsid w:val="00C7119C"/>
    <w:rsid w:val="00D16C4B"/>
    <w:rsid w:val="00D17E25"/>
    <w:rsid w:val="00D75147"/>
    <w:rsid w:val="00E25097"/>
    <w:rsid w:val="00E40382"/>
    <w:rsid w:val="00EE0C78"/>
    <w:rsid w:val="00F1020A"/>
    <w:rsid w:val="00F40666"/>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77FDA"/>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0D"/>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06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F50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11A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011A3D"/>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9566">
      <w:bodyDiv w:val="1"/>
      <w:marLeft w:val="0"/>
      <w:marRight w:val="0"/>
      <w:marTop w:val="0"/>
      <w:marBottom w:val="0"/>
      <w:divBdr>
        <w:top w:val="none" w:sz="0" w:space="0" w:color="auto"/>
        <w:left w:val="none" w:sz="0" w:space="0" w:color="auto"/>
        <w:bottom w:val="none" w:sz="0" w:space="0" w:color="auto"/>
        <w:right w:val="none" w:sz="0" w:space="0" w:color="auto"/>
      </w:divBdr>
    </w:div>
    <w:div w:id="1172330140">
      <w:bodyDiv w:val="1"/>
      <w:marLeft w:val="0"/>
      <w:marRight w:val="0"/>
      <w:marTop w:val="0"/>
      <w:marBottom w:val="0"/>
      <w:divBdr>
        <w:top w:val="none" w:sz="0" w:space="0" w:color="auto"/>
        <w:left w:val="none" w:sz="0" w:space="0" w:color="auto"/>
        <w:bottom w:val="none" w:sz="0" w:space="0" w:color="auto"/>
        <w:right w:val="none" w:sz="0" w:space="0" w:color="auto"/>
      </w:divBdr>
    </w:div>
    <w:div w:id="1376274557">
      <w:bodyDiv w:val="1"/>
      <w:marLeft w:val="0"/>
      <w:marRight w:val="0"/>
      <w:marTop w:val="0"/>
      <w:marBottom w:val="0"/>
      <w:divBdr>
        <w:top w:val="none" w:sz="0" w:space="0" w:color="auto"/>
        <w:left w:val="none" w:sz="0" w:space="0" w:color="auto"/>
        <w:bottom w:val="none" w:sz="0" w:space="0" w:color="auto"/>
        <w:right w:val="none" w:sz="0" w:space="0" w:color="auto"/>
      </w:divBdr>
    </w:div>
    <w:div w:id="1528639299">
      <w:bodyDiv w:val="1"/>
      <w:marLeft w:val="0"/>
      <w:marRight w:val="0"/>
      <w:marTop w:val="0"/>
      <w:marBottom w:val="0"/>
      <w:divBdr>
        <w:top w:val="none" w:sz="0" w:space="0" w:color="auto"/>
        <w:left w:val="none" w:sz="0" w:space="0" w:color="auto"/>
        <w:bottom w:val="none" w:sz="0" w:space="0" w:color="auto"/>
        <w:right w:val="none" w:sz="0" w:space="0" w:color="auto"/>
      </w:divBdr>
    </w:div>
    <w:div w:id="1914004216">
      <w:bodyDiv w:val="1"/>
      <w:marLeft w:val="0"/>
      <w:marRight w:val="0"/>
      <w:marTop w:val="0"/>
      <w:marBottom w:val="0"/>
      <w:divBdr>
        <w:top w:val="none" w:sz="0" w:space="0" w:color="auto"/>
        <w:left w:val="none" w:sz="0" w:space="0" w:color="auto"/>
        <w:bottom w:val="none" w:sz="0" w:space="0" w:color="auto"/>
        <w:right w:val="none" w:sz="0" w:space="0" w:color="auto"/>
      </w:divBdr>
    </w:div>
    <w:div w:id="1979143359">
      <w:bodyDiv w:val="1"/>
      <w:marLeft w:val="0"/>
      <w:marRight w:val="0"/>
      <w:marTop w:val="0"/>
      <w:marBottom w:val="0"/>
      <w:divBdr>
        <w:top w:val="none" w:sz="0" w:space="0" w:color="auto"/>
        <w:left w:val="none" w:sz="0" w:space="0" w:color="auto"/>
        <w:bottom w:val="none" w:sz="0" w:space="0" w:color="auto"/>
        <w:right w:val="none" w:sz="0" w:space="0" w:color="auto"/>
      </w:divBdr>
    </w:div>
    <w:div w:id="1980449665">
      <w:bodyDiv w:val="1"/>
      <w:marLeft w:val="0"/>
      <w:marRight w:val="0"/>
      <w:marTop w:val="0"/>
      <w:marBottom w:val="0"/>
      <w:divBdr>
        <w:top w:val="none" w:sz="0" w:space="0" w:color="auto"/>
        <w:left w:val="none" w:sz="0" w:space="0" w:color="auto"/>
        <w:bottom w:val="none" w:sz="0" w:space="0" w:color="auto"/>
        <w:right w:val="none" w:sz="0" w:space="0" w:color="auto"/>
      </w:divBdr>
      <w:divsChild>
        <w:div w:id="521479351">
          <w:marLeft w:val="142"/>
          <w:marRight w:val="0"/>
          <w:marTop w:val="0"/>
          <w:marBottom w:val="0"/>
          <w:divBdr>
            <w:top w:val="none" w:sz="0" w:space="0" w:color="auto"/>
            <w:left w:val="none" w:sz="0" w:space="0" w:color="auto"/>
            <w:bottom w:val="none" w:sz="0" w:space="0" w:color="auto"/>
            <w:right w:val="none" w:sz="0" w:space="0" w:color="auto"/>
          </w:divBdr>
        </w:div>
        <w:div w:id="1468038988">
          <w:marLeft w:val="142"/>
          <w:marRight w:val="0"/>
          <w:marTop w:val="0"/>
          <w:marBottom w:val="0"/>
          <w:divBdr>
            <w:top w:val="none" w:sz="0" w:space="0" w:color="auto"/>
            <w:left w:val="none" w:sz="0" w:space="0" w:color="auto"/>
            <w:bottom w:val="none" w:sz="0" w:space="0" w:color="auto"/>
            <w:right w:val="none" w:sz="0" w:space="0" w:color="auto"/>
          </w:divBdr>
        </w:div>
        <w:div w:id="199393015">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0052-D447-4A9D-B596-F1118FE8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2024-09-11T08:00:00Z</dcterms:created>
  <dcterms:modified xsi:type="dcterms:W3CDTF">2024-09-11T08:00:00Z</dcterms:modified>
</cp:coreProperties>
</file>