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93"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KAYSERİ ÜNİVERSİTESİ</w:t>
      </w:r>
    </w:p>
    <w:p w:rsidR="00493636"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DIŞ İLİŞKİLER OFİSİ</w:t>
      </w:r>
    </w:p>
    <w:p w:rsidR="00493636"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ERASMUS KOORDİNATÖRLÜĞÜ</w:t>
      </w:r>
    </w:p>
    <w:p w:rsidR="00493636" w:rsidRPr="00CE6E90" w:rsidRDefault="00493636" w:rsidP="00493636">
      <w:pPr>
        <w:jc w:val="center"/>
        <w:rPr>
          <w:rFonts w:ascii="Times New Roman" w:hAnsi="Times New Roman" w:cs="Times New Roman"/>
          <w:b/>
          <w:sz w:val="24"/>
          <w:szCs w:val="24"/>
          <w:lang w:val="tr-TR"/>
        </w:rPr>
      </w:pPr>
      <w:r w:rsidRPr="00CE6E90">
        <w:rPr>
          <w:rFonts w:ascii="Times New Roman" w:hAnsi="Times New Roman" w:cs="Times New Roman"/>
          <w:b/>
          <w:sz w:val="24"/>
          <w:szCs w:val="24"/>
          <w:lang w:val="tr-TR"/>
        </w:rPr>
        <w:t>ERASMUS+ PERSONEL EĞİTİM ALMA HAREKETLİLİĞİ</w:t>
      </w:r>
    </w:p>
    <w:p w:rsidR="002A7105" w:rsidRPr="002A7105" w:rsidRDefault="002A7105" w:rsidP="002A7105">
      <w:pPr>
        <w:jc w:val="both"/>
        <w:rPr>
          <w:rFonts w:ascii="Times New Roman" w:hAnsi="Times New Roman" w:cs="Times New Roman"/>
          <w:sz w:val="28"/>
          <w:szCs w:val="24"/>
          <w:lang w:val="tr-TR"/>
        </w:rPr>
      </w:pPr>
      <w:proofErr w:type="spellStart"/>
      <w:r w:rsidRPr="002A7105">
        <w:rPr>
          <w:rFonts w:ascii="Times New Roman" w:hAnsi="Times New Roman" w:cs="Times New Roman"/>
          <w:sz w:val="24"/>
        </w:rPr>
        <w:t>Personel</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eğitim</w:t>
      </w:r>
      <w:proofErr w:type="spellEnd"/>
      <w:r w:rsidRPr="002A7105">
        <w:rPr>
          <w:rFonts w:ascii="Times New Roman" w:hAnsi="Times New Roman" w:cs="Times New Roman"/>
          <w:sz w:val="24"/>
        </w:rPr>
        <w:t xml:space="preserve"> alma </w:t>
      </w:r>
      <w:proofErr w:type="spellStart"/>
      <w:r w:rsidRPr="002A7105">
        <w:rPr>
          <w:rFonts w:ascii="Times New Roman" w:hAnsi="Times New Roman" w:cs="Times New Roman"/>
          <w:sz w:val="24"/>
        </w:rPr>
        <w:t>hareketliliği</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Türkiye’de</w:t>
      </w:r>
      <w:proofErr w:type="spellEnd"/>
      <w:r w:rsidRPr="002A7105">
        <w:rPr>
          <w:rFonts w:ascii="Times New Roman" w:hAnsi="Times New Roman" w:cs="Times New Roman"/>
          <w:sz w:val="24"/>
        </w:rPr>
        <w:t xml:space="preserve"> ECHE </w:t>
      </w:r>
      <w:proofErr w:type="spellStart"/>
      <w:r w:rsidRPr="002A7105">
        <w:rPr>
          <w:rFonts w:ascii="Times New Roman" w:hAnsi="Times New Roman" w:cs="Times New Roman"/>
          <w:sz w:val="24"/>
        </w:rPr>
        <w:t>sahibi</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bir</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yükseköğretim</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kurumunda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istihdam</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edilmiş</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personelin</w:t>
      </w:r>
      <w:proofErr w:type="spellEnd"/>
      <w:r w:rsidRPr="002A7105">
        <w:rPr>
          <w:rFonts w:ascii="Times New Roman" w:hAnsi="Times New Roman" w:cs="Times New Roman"/>
          <w:sz w:val="24"/>
        </w:rPr>
        <w:t xml:space="preserve">, AB </w:t>
      </w:r>
      <w:proofErr w:type="spellStart"/>
      <w:r w:rsidRPr="002A7105">
        <w:rPr>
          <w:rFonts w:ascii="Times New Roman" w:hAnsi="Times New Roman" w:cs="Times New Roman"/>
          <w:sz w:val="24"/>
        </w:rPr>
        <w:t>üyesi</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veya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Programla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ilişkili</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ülkelerden</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birinde</w:t>
      </w:r>
      <w:proofErr w:type="spellEnd"/>
      <w:r w:rsidRPr="002A7105">
        <w:rPr>
          <w:rFonts w:ascii="Times New Roman" w:hAnsi="Times New Roman" w:cs="Times New Roman"/>
          <w:sz w:val="24"/>
        </w:rPr>
        <w:t xml:space="preserve"> ECHE </w:t>
      </w:r>
      <w:proofErr w:type="spellStart"/>
      <w:r w:rsidRPr="002A7105">
        <w:rPr>
          <w:rFonts w:ascii="Times New Roman" w:hAnsi="Times New Roman" w:cs="Times New Roman"/>
          <w:sz w:val="24"/>
        </w:rPr>
        <w:t>sahibi</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bir</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yükseköğretim</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kurumunda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Programla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ilişkili</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olmayan</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ülkelerde</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ilgili</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ülkenin</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yetkili</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kurumlarınca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yükseköğretim</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kurumu</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olarak</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tanınan</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ve</w:t>
      </w:r>
      <w:proofErr w:type="spellEnd"/>
      <w:r w:rsidRPr="002A7105">
        <w:rPr>
          <w:rFonts w:ascii="Times New Roman" w:hAnsi="Times New Roman" w:cs="Times New Roman"/>
          <w:sz w:val="24"/>
        </w:rPr>
        <w:t xml:space="preserve"> Erasmus+ </w:t>
      </w:r>
      <w:proofErr w:type="spellStart"/>
      <w:r w:rsidRPr="002A7105">
        <w:rPr>
          <w:rFonts w:ascii="Times New Roman" w:hAnsi="Times New Roman" w:cs="Times New Roman"/>
          <w:sz w:val="24"/>
        </w:rPr>
        <w:t>kurumlararası</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anlaşma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imzalanan</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yükseköğretim</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kurumları</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ile</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emek</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piyasasında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aktif</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olan</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veya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eğitim</w:t>
      </w:r>
      <w:proofErr w:type="spellEnd"/>
      <w:r w:rsidR="005776F6">
        <w:rPr>
          <w:rFonts w:ascii="Times New Roman" w:hAnsi="Times New Roman" w:cs="Times New Roman"/>
          <w:sz w:val="24"/>
        </w:rPr>
        <w:t xml:space="preserve"> </w:t>
      </w:r>
      <w:proofErr w:type="spellStart"/>
      <w:r w:rsidRPr="002A7105">
        <w:rPr>
          <w:rFonts w:ascii="Times New Roman" w:hAnsi="Times New Roman" w:cs="Times New Roman"/>
          <w:sz w:val="24"/>
        </w:rPr>
        <w:t>öğretim</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gençlik</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araştırma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ve</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yenilikçilik</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alanında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faaliyet</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gösteren</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herhangi</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bir</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kamuya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bağlı</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veya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özel</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kuruluşta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eğitim</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almasına</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imkân</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sağlayan</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faaliyet</w:t>
      </w:r>
      <w:proofErr w:type="spellEnd"/>
      <w:r w:rsidRPr="002A7105">
        <w:rPr>
          <w:rFonts w:ascii="Times New Roman" w:hAnsi="Times New Roman" w:cs="Times New Roman"/>
          <w:sz w:val="24"/>
        </w:rPr>
        <w:t xml:space="preserve"> </w:t>
      </w:r>
      <w:proofErr w:type="spellStart"/>
      <w:r w:rsidRPr="002A7105">
        <w:rPr>
          <w:rFonts w:ascii="Times New Roman" w:hAnsi="Times New Roman" w:cs="Times New Roman"/>
          <w:sz w:val="24"/>
        </w:rPr>
        <w:t>alanıdır</w:t>
      </w:r>
      <w:proofErr w:type="spellEnd"/>
      <w:r w:rsidRPr="002A7105">
        <w:rPr>
          <w:rFonts w:ascii="Times New Roman" w:hAnsi="Times New Roman" w:cs="Times New Roman"/>
          <w:sz w:val="24"/>
        </w:rPr>
        <w:t>.</w:t>
      </w:r>
    </w:p>
    <w:p w:rsidR="00493636" w:rsidRPr="00CE6E90" w:rsidRDefault="00493636"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Geçerli Anlaşmalar ve Kontenjan Sayısı</w:t>
      </w:r>
    </w:p>
    <w:p w:rsidR="00601A36" w:rsidRPr="00CE6E90" w:rsidRDefault="00601A36" w:rsidP="002A7105">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Kayseri</w:t>
      </w:r>
      <w:r w:rsidR="00493636" w:rsidRPr="00CE6E90">
        <w:rPr>
          <w:rFonts w:ascii="Times New Roman" w:hAnsi="Times New Roman" w:cs="Times New Roman"/>
          <w:sz w:val="24"/>
          <w:szCs w:val="24"/>
          <w:lang w:val="tr-TR"/>
        </w:rPr>
        <w:t xml:space="preserve"> </w:t>
      </w:r>
      <w:r w:rsidR="00493636" w:rsidRPr="00B44364">
        <w:rPr>
          <w:rFonts w:ascii="Times New Roman" w:hAnsi="Times New Roman" w:cs="Times New Roman"/>
          <w:sz w:val="24"/>
          <w:szCs w:val="24"/>
          <w:lang w:val="tr-TR"/>
        </w:rPr>
        <w:t xml:space="preserve">Üniversitesi Erasmus+ kapsamında personel değişimi için anlaşmalar yapmaktadır. Karşı kurumlarla görüşülerek ortak faaliyet alanları çerçevesinde kontenjanlar belirlenmiştir. </w:t>
      </w:r>
      <w:r w:rsidR="00B44364" w:rsidRPr="00B44364">
        <w:rPr>
          <w:rFonts w:ascii="Times New Roman" w:hAnsi="Times New Roman" w:cs="Times New Roman"/>
          <w:sz w:val="24"/>
          <w:szCs w:val="24"/>
          <w:lang w:val="tr-TR"/>
        </w:rPr>
        <w:t xml:space="preserve"> </w:t>
      </w:r>
      <w:proofErr w:type="spellStart"/>
      <w:r w:rsidR="00B44364" w:rsidRPr="00B44364">
        <w:rPr>
          <w:rFonts w:ascii="Times New Roman" w:hAnsi="Times New Roman" w:cs="Times New Roman"/>
          <w:sz w:val="24"/>
          <w:szCs w:val="24"/>
        </w:rPr>
        <w:t>Personel</w:t>
      </w:r>
      <w:proofErr w:type="spellEnd"/>
      <w:r w:rsidR="00B44364" w:rsidRPr="00B44364">
        <w:rPr>
          <w:rFonts w:ascii="Times New Roman" w:hAnsi="Times New Roman" w:cs="Times New Roman"/>
          <w:sz w:val="24"/>
          <w:szCs w:val="24"/>
        </w:rPr>
        <w:t xml:space="preserve"> </w:t>
      </w:r>
      <w:proofErr w:type="spellStart"/>
      <w:r w:rsidR="00B44364" w:rsidRPr="00B44364">
        <w:rPr>
          <w:rFonts w:ascii="Times New Roman" w:hAnsi="Times New Roman" w:cs="Times New Roman"/>
          <w:sz w:val="24"/>
          <w:szCs w:val="24"/>
        </w:rPr>
        <w:t>eğitim</w:t>
      </w:r>
      <w:proofErr w:type="spellEnd"/>
      <w:r w:rsidR="00B44364" w:rsidRPr="00B44364">
        <w:rPr>
          <w:rFonts w:ascii="Times New Roman" w:hAnsi="Times New Roman" w:cs="Times New Roman"/>
          <w:sz w:val="24"/>
          <w:szCs w:val="24"/>
        </w:rPr>
        <w:t xml:space="preserve"> </w:t>
      </w:r>
      <w:proofErr w:type="gramStart"/>
      <w:r w:rsidR="00B44364" w:rsidRPr="00B44364">
        <w:rPr>
          <w:rFonts w:ascii="Times New Roman" w:hAnsi="Times New Roman" w:cs="Times New Roman"/>
          <w:sz w:val="24"/>
          <w:szCs w:val="24"/>
        </w:rPr>
        <w:t>alma</w:t>
      </w:r>
      <w:proofErr w:type="gramEnd"/>
      <w:r w:rsidR="00B44364" w:rsidRPr="00B44364">
        <w:rPr>
          <w:rFonts w:ascii="Times New Roman" w:hAnsi="Times New Roman" w:cs="Times New Roman"/>
          <w:sz w:val="24"/>
          <w:szCs w:val="24"/>
        </w:rPr>
        <w:t xml:space="preserve"> </w:t>
      </w:r>
      <w:proofErr w:type="spellStart"/>
      <w:r w:rsidR="00B44364" w:rsidRPr="00B44364">
        <w:rPr>
          <w:rFonts w:ascii="Times New Roman" w:hAnsi="Times New Roman" w:cs="Times New Roman"/>
          <w:sz w:val="24"/>
          <w:szCs w:val="24"/>
        </w:rPr>
        <w:t>hareketliliği</w:t>
      </w:r>
      <w:proofErr w:type="spellEnd"/>
      <w:r w:rsidR="00B44364" w:rsidRPr="00B44364">
        <w:rPr>
          <w:rFonts w:ascii="Times New Roman" w:hAnsi="Times New Roman" w:cs="Times New Roman"/>
          <w:sz w:val="24"/>
          <w:szCs w:val="24"/>
        </w:rPr>
        <w:t xml:space="preserve"> </w:t>
      </w:r>
      <w:proofErr w:type="spellStart"/>
      <w:r w:rsidR="00B44364" w:rsidRPr="00B44364">
        <w:rPr>
          <w:rFonts w:ascii="Times New Roman" w:hAnsi="Times New Roman" w:cs="Times New Roman"/>
          <w:sz w:val="24"/>
          <w:szCs w:val="24"/>
        </w:rPr>
        <w:t>gerçekleştirilecek</w:t>
      </w:r>
      <w:proofErr w:type="spellEnd"/>
      <w:r w:rsidR="00B44364" w:rsidRPr="00B44364">
        <w:rPr>
          <w:rFonts w:ascii="Times New Roman" w:hAnsi="Times New Roman" w:cs="Times New Roman"/>
          <w:sz w:val="24"/>
          <w:szCs w:val="24"/>
        </w:rPr>
        <w:t xml:space="preserve"> </w:t>
      </w:r>
      <w:proofErr w:type="spellStart"/>
      <w:r w:rsidR="00B44364" w:rsidRPr="00B44364">
        <w:rPr>
          <w:rFonts w:ascii="Times New Roman" w:hAnsi="Times New Roman" w:cs="Times New Roman"/>
          <w:sz w:val="24"/>
          <w:szCs w:val="24"/>
        </w:rPr>
        <w:t>kurum</w:t>
      </w:r>
      <w:proofErr w:type="spellEnd"/>
      <w:r w:rsidR="00B44364" w:rsidRPr="00B44364">
        <w:rPr>
          <w:rFonts w:ascii="Times New Roman" w:hAnsi="Times New Roman" w:cs="Times New Roman"/>
          <w:sz w:val="24"/>
          <w:szCs w:val="24"/>
        </w:rPr>
        <w:t xml:space="preserve"> </w:t>
      </w:r>
      <w:proofErr w:type="spellStart"/>
      <w:r w:rsidR="00B44364" w:rsidRPr="00B44364">
        <w:rPr>
          <w:rFonts w:ascii="Times New Roman" w:hAnsi="Times New Roman" w:cs="Times New Roman"/>
          <w:sz w:val="24"/>
          <w:szCs w:val="24"/>
        </w:rPr>
        <w:t>ile</w:t>
      </w:r>
      <w:proofErr w:type="spellEnd"/>
      <w:r w:rsidR="00B44364" w:rsidRPr="00B44364">
        <w:rPr>
          <w:rFonts w:ascii="Times New Roman" w:hAnsi="Times New Roman" w:cs="Times New Roman"/>
          <w:sz w:val="24"/>
          <w:szCs w:val="24"/>
        </w:rPr>
        <w:t xml:space="preserve"> </w:t>
      </w:r>
      <w:proofErr w:type="spellStart"/>
      <w:r w:rsidR="00B44364" w:rsidRPr="00B44364">
        <w:rPr>
          <w:rFonts w:ascii="Times New Roman" w:hAnsi="Times New Roman" w:cs="Times New Roman"/>
          <w:sz w:val="24"/>
          <w:szCs w:val="24"/>
        </w:rPr>
        <w:t>üniversitemiz</w:t>
      </w:r>
      <w:proofErr w:type="spellEnd"/>
      <w:r w:rsidR="00B44364" w:rsidRPr="00B44364">
        <w:rPr>
          <w:rFonts w:ascii="Times New Roman" w:hAnsi="Times New Roman" w:cs="Times New Roman"/>
          <w:sz w:val="24"/>
          <w:szCs w:val="24"/>
        </w:rPr>
        <w:t xml:space="preserve"> </w:t>
      </w:r>
      <w:proofErr w:type="spellStart"/>
      <w:r w:rsidR="00B44364" w:rsidRPr="00B44364">
        <w:rPr>
          <w:rFonts w:ascii="Times New Roman" w:hAnsi="Times New Roman" w:cs="Times New Roman"/>
          <w:sz w:val="24"/>
          <w:szCs w:val="24"/>
        </w:rPr>
        <w:t>arasında</w:t>
      </w:r>
      <w:proofErr w:type="spellEnd"/>
      <w:r w:rsidR="00B44364" w:rsidRPr="00B44364">
        <w:rPr>
          <w:rFonts w:ascii="Times New Roman" w:hAnsi="Times New Roman" w:cs="Times New Roman"/>
          <w:sz w:val="24"/>
          <w:szCs w:val="24"/>
        </w:rPr>
        <w:t xml:space="preserve"> </w:t>
      </w:r>
      <w:proofErr w:type="spellStart"/>
      <w:r w:rsidR="00B44364" w:rsidRPr="00B44364">
        <w:rPr>
          <w:rFonts w:ascii="Times New Roman" w:hAnsi="Times New Roman" w:cs="Times New Roman"/>
          <w:sz w:val="24"/>
          <w:szCs w:val="24"/>
        </w:rPr>
        <w:t>ikili</w:t>
      </w:r>
      <w:proofErr w:type="spellEnd"/>
      <w:r w:rsidR="00B44364" w:rsidRPr="00B44364">
        <w:rPr>
          <w:rFonts w:ascii="Times New Roman" w:hAnsi="Times New Roman" w:cs="Times New Roman"/>
          <w:sz w:val="24"/>
          <w:szCs w:val="24"/>
        </w:rPr>
        <w:t xml:space="preserve"> </w:t>
      </w:r>
      <w:proofErr w:type="spellStart"/>
      <w:r w:rsidR="00B44364" w:rsidRPr="00B44364">
        <w:rPr>
          <w:rFonts w:ascii="Times New Roman" w:hAnsi="Times New Roman" w:cs="Times New Roman"/>
          <w:sz w:val="24"/>
          <w:szCs w:val="24"/>
        </w:rPr>
        <w:t>anlaşma</w:t>
      </w:r>
      <w:proofErr w:type="spellEnd"/>
      <w:r w:rsidR="00B44364" w:rsidRPr="00B44364">
        <w:rPr>
          <w:rFonts w:ascii="Times New Roman" w:hAnsi="Times New Roman" w:cs="Times New Roman"/>
          <w:sz w:val="24"/>
          <w:szCs w:val="24"/>
        </w:rPr>
        <w:t xml:space="preserve"> </w:t>
      </w:r>
      <w:proofErr w:type="spellStart"/>
      <w:r w:rsidR="00B44364" w:rsidRPr="00B44364">
        <w:rPr>
          <w:rFonts w:ascii="Times New Roman" w:hAnsi="Times New Roman" w:cs="Times New Roman"/>
          <w:sz w:val="24"/>
          <w:szCs w:val="24"/>
        </w:rPr>
        <w:t>şartı</w:t>
      </w:r>
      <w:proofErr w:type="spellEnd"/>
      <w:r w:rsidR="00B44364" w:rsidRPr="00B44364">
        <w:rPr>
          <w:rFonts w:ascii="Times New Roman" w:hAnsi="Times New Roman" w:cs="Times New Roman"/>
          <w:sz w:val="24"/>
          <w:szCs w:val="24"/>
        </w:rPr>
        <w:t xml:space="preserve"> </w:t>
      </w:r>
      <w:proofErr w:type="spellStart"/>
      <w:r w:rsidR="00B44364" w:rsidRPr="00B44364">
        <w:rPr>
          <w:rFonts w:ascii="Times New Roman" w:hAnsi="Times New Roman" w:cs="Times New Roman"/>
          <w:sz w:val="24"/>
          <w:szCs w:val="24"/>
        </w:rPr>
        <w:t>aranmamaktadır</w:t>
      </w:r>
      <w:proofErr w:type="spellEnd"/>
      <w:r w:rsidR="00B44364" w:rsidRPr="00B44364">
        <w:rPr>
          <w:rFonts w:ascii="Times New Roman" w:hAnsi="Times New Roman" w:cs="Times New Roman"/>
          <w:sz w:val="24"/>
          <w:szCs w:val="24"/>
        </w:rPr>
        <w:t>.</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Eğitim Alma Hareketliliğine Kimler Katılabilir?</w:t>
      </w:r>
    </w:p>
    <w:p w:rsidR="00F918BB" w:rsidRPr="00CE6E90" w:rsidRDefault="00F918BB" w:rsidP="00552AFE">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Kayseri</w:t>
      </w:r>
      <w:r w:rsidR="00CE6E90">
        <w:rPr>
          <w:rFonts w:ascii="Times New Roman" w:hAnsi="Times New Roman" w:cs="Times New Roman"/>
          <w:sz w:val="24"/>
          <w:szCs w:val="24"/>
          <w:lang w:val="tr-TR"/>
        </w:rPr>
        <w:t xml:space="preserve"> Üniversitesinde tam</w:t>
      </w:r>
      <w:r w:rsidRPr="00CE6E90">
        <w:rPr>
          <w:rFonts w:ascii="Times New Roman" w:hAnsi="Times New Roman" w:cs="Times New Roman"/>
          <w:sz w:val="24"/>
          <w:szCs w:val="24"/>
          <w:lang w:val="tr-TR"/>
        </w:rPr>
        <w:t xml:space="preserve"> zamanlı olarak istihdam edil</w:t>
      </w:r>
      <w:r w:rsidR="00552AFE">
        <w:rPr>
          <w:rFonts w:ascii="Times New Roman" w:hAnsi="Times New Roman" w:cs="Times New Roman"/>
          <w:sz w:val="24"/>
          <w:szCs w:val="24"/>
          <w:lang w:val="tr-TR"/>
        </w:rPr>
        <w:t xml:space="preserve">miş, fiilen görev yapmakta olan </w:t>
      </w:r>
      <w:r w:rsidRPr="00CE6E90">
        <w:rPr>
          <w:rFonts w:ascii="Times New Roman" w:hAnsi="Times New Roman" w:cs="Times New Roman"/>
          <w:sz w:val="24"/>
          <w:szCs w:val="24"/>
          <w:lang w:val="tr-TR"/>
        </w:rPr>
        <w:t xml:space="preserve">personel Eğitim Alma Hareketliliğinden faydalanabilir. </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Personel Eğitim Alma Hareketliliği için Asgarî ve Azamî Süreler</w:t>
      </w:r>
    </w:p>
    <w:p w:rsidR="00F918BB" w:rsidRDefault="00F918BB" w:rsidP="00552AFE">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eğitim alma hareketliliği için faaliyet süresi seyahat hariç en az 2 iş günü, en fazla 5 gün olarak belirlenmiştir. Personel eğitim alma hareketliliğinde, katılım sertifikasında yararlanıcının 2 günden az süre ile faaliyet gerçekleştirdiğinin görüldüğü durumlarda, faaliyet geçersiz kabul edilir ve yararlanıcıya herhangi bir hibe ödemesi yapılmaz. </w:t>
      </w:r>
    </w:p>
    <w:p w:rsidR="00F918BB" w:rsidRPr="00CE6E90" w:rsidRDefault="00F918BB" w:rsidP="00493636">
      <w:pPr>
        <w:rPr>
          <w:rFonts w:ascii="Times New Roman" w:hAnsi="Times New Roman" w:cs="Times New Roman"/>
          <w:b/>
          <w:sz w:val="24"/>
          <w:szCs w:val="24"/>
          <w:lang w:val="tr-TR"/>
        </w:rPr>
      </w:pPr>
      <w:r w:rsidRPr="00CE6E90">
        <w:rPr>
          <w:rFonts w:ascii="Times New Roman" w:hAnsi="Times New Roman" w:cs="Times New Roman"/>
          <w:b/>
          <w:sz w:val="24"/>
          <w:szCs w:val="24"/>
          <w:lang w:val="tr-TR"/>
        </w:rPr>
        <w:t>Başvuru Sırasında Teslim Edilmesi Gereken Belgeler</w:t>
      </w:r>
    </w:p>
    <w:p w:rsidR="00F918BB" w:rsidRPr="00CE6E90" w:rsidRDefault="00F918BB" w:rsidP="00CE6E90">
      <w:pPr>
        <w:pStyle w:val="ListeParagraf"/>
        <w:numPr>
          <w:ilvl w:val="0"/>
          <w:numId w:val="1"/>
        </w:num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Başvuru Formu </w:t>
      </w:r>
    </w:p>
    <w:p w:rsidR="00F918BB" w:rsidRPr="00CE6E90" w:rsidRDefault="00F918BB" w:rsidP="00CE6E90">
      <w:pPr>
        <w:pStyle w:val="ListeParagraf"/>
        <w:numPr>
          <w:ilvl w:val="0"/>
          <w:numId w:val="1"/>
        </w:numPr>
        <w:rPr>
          <w:rFonts w:ascii="Times New Roman" w:hAnsi="Times New Roman" w:cs="Times New Roman"/>
          <w:sz w:val="24"/>
          <w:szCs w:val="24"/>
          <w:lang w:val="tr-TR"/>
        </w:rPr>
      </w:pPr>
      <w:r w:rsidRPr="00CE6E90">
        <w:rPr>
          <w:rFonts w:ascii="Times New Roman" w:hAnsi="Times New Roman" w:cs="Times New Roman"/>
          <w:sz w:val="24"/>
          <w:szCs w:val="24"/>
          <w:lang w:val="tr-TR"/>
        </w:rPr>
        <w:t>Eğitim Alma Puan Çizelgesi</w:t>
      </w:r>
    </w:p>
    <w:p w:rsidR="00F918BB" w:rsidRPr="00CE6E90" w:rsidRDefault="00F918BB" w:rsidP="00CE6E90">
      <w:pPr>
        <w:pStyle w:val="ListeParagraf"/>
        <w:numPr>
          <w:ilvl w:val="0"/>
          <w:numId w:val="1"/>
        </w:numPr>
        <w:rPr>
          <w:rFonts w:ascii="Times New Roman" w:hAnsi="Times New Roman" w:cs="Times New Roman"/>
          <w:sz w:val="24"/>
          <w:szCs w:val="24"/>
          <w:lang w:val="tr-TR"/>
        </w:rPr>
      </w:pPr>
      <w:r w:rsidRPr="00CE6E90">
        <w:rPr>
          <w:rFonts w:ascii="Times New Roman" w:hAnsi="Times New Roman" w:cs="Times New Roman"/>
          <w:sz w:val="24"/>
          <w:szCs w:val="24"/>
          <w:lang w:val="tr-TR"/>
        </w:rPr>
        <w:t>Dil Belgesi Kopyası</w:t>
      </w:r>
      <w:r w:rsidR="00EF59D9">
        <w:rPr>
          <w:rFonts w:ascii="Times New Roman" w:hAnsi="Times New Roman" w:cs="Times New Roman"/>
          <w:sz w:val="24"/>
          <w:szCs w:val="24"/>
          <w:lang w:val="tr-TR"/>
        </w:rPr>
        <w:t xml:space="preserve"> (varsa)</w:t>
      </w:r>
    </w:p>
    <w:p w:rsidR="00F918BB" w:rsidRDefault="00F918BB" w:rsidP="00CE6E90">
      <w:pPr>
        <w:pStyle w:val="ListeParagraf"/>
        <w:numPr>
          <w:ilvl w:val="0"/>
          <w:numId w:val="1"/>
        </w:numPr>
        <w:rPr>
          <w:rFonts w:ascii="Times New Roman" w:hAnsi="Times New Roman" w:cs="Times New Roman"/>
          <w:sz w:val="24"/>
          <w:szCs w:val="24"/>
          <w:lang w:val="tr-TR"/>
        </w:rPr>
      </w:pPr>
      <w:r w:rsidRPr="00CE6E90">
        <w:rPr>
          <w:rFonts w:ascii="Times New Roman" w:hAnsi="Times New Roman" w:cs="Times New Roman"/>
          <w:sz w:val="24"/>
          <w:szCs w:val="24"/>
          <w:lang w:val="tr-TR"/>
        </w:rPr>
        <w:t>Lisansüstü Eğitim Diploması ya da Denklik Belgesi (Lisansüstü eğitimini yurtdışında ya da yabancı bir dilde eğitim veren kurumlarda tamamlayanlar için)</w:t>
      </w:r>
      <w:r w:rsidR="00EF59D9">
        <w:rPr>
          <w:rFonts w:ascii="Times New Roman" w:hAnsi="Times New Roman" w:cs="Times New Roman"/>
          <w:sz w:val="24"/>
          <w:szCs w:val="24"/>
          <w:lang w:val="tr-TR"/>
        </w:rPr>
        <w:t xml:space="preserve"> (varsa)</w:t>
      </w:r>
    </w:p>
    <w:p w:rsidR="00A62BFB" w:rsidRDefault="00552AFE" w:rsidP="00A62BFB">
      <w:pPr>
        <w:jc w:val="both"/>
        <w:rPr>
          <w:rFonts w:ascii="Times New Roman" w:hAnsi="Times New Roman" w:cs="Times New Roman"/>
          <w:sz w:val="28"/>
          <w:szCs w:val="24"/>
          <w:lang w:val="tr-TR"/>
        </w:rPr>
      </w:pPr>
      <w:r w:rsidRPr="00B44364">
        <w:rPr>
          <w:rFonts w:ascii="Times New Roman" w:hAnsi="Times New Roman" w:cs="Times New Roman"/>
          <w:sz w:val="24"/>
        </w:rPr>
        <w:t xml:space="preserve">Erasmus+ </w:t>
      </w:r>
      <w:proofErr w:type="spellStart"/>
      <w:r w:rsidRPr="00B44364">
        <w:rPr>
          <w:rFonts w:ascii="Times New Roman" w:hAnsi="Times New Roman" w:cs="Times New Roman"/>
          <w:sz w:val="24"/>
        </w:rPr>
        <w:t>hareketlilik</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programından</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yararlanacak</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personel</w:t>
      </w:r>
      <w:proofErr w:type="spellEnd"/>
      <w:r w:rsidRPr="00B44364">
        <w:rPr>
          <w:rFonts w:ascii="Times New Roman" w:hAnsi="Times New Roman" w:cs="Times New Roman"/>
          <w:sz w:val="24"/>
        </w:rPr>
        <w:t xml:space="preserve">, 5 </w:t>
      </w:r>
      <w:proofErr w:type="spellStart"/>
      <w:r w:rsidRPr="00B44364">
        <w:rPr>
          <w:rFonts w:ascii="Times New Roman" w:hAnsi="Times New Roman" w:cs="Times New Roman"/>
          <w:sz w:val="24"/>
        </w:rPr>
        <w:t>günlük</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hibe</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miktarına</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ek</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olarak</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seyahat</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için</w:t>
      </w:r>
      <w:proofErr w:type="spellEnd"/>
      <w:r w:rsidRPr="00B44364">
        <w:rPr>
          <w:rFonts w:ascii="Times New Roman" w:hAnsi="Times New Roman" w:cs="Times New Roman"/>
          <w:sz w:val="24"/>
        </w:rPr>
        <w:t xml:space="preserve"> 2 </w:t>
      </w:r>
      <w:proofErr w:type="spellStart"/>
      <w:r w:rsidRPr="00B44364">
        <w:rPr>
          <w:rFonts w:ascii="Times New Roman" w:hAnsi="Times New Roman" w:cs="Times New Roman"/>
          <w:sz w:val="24"/>
        </w:rPr>
        <w:t>günlük</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hibe</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ve</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seyahat</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maliyetlerini</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karşılamak</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için</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seyahat</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mesafelerine</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karşı</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gelen</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tutarı</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alacaktır</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Personel</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hareketliliği</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faaliyetinden</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faydalanan</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personeline</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ödenecek</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seyahat</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gideri</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miktarı</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Mesafe</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Hesaplayıcı</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kullanılarak</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hesap</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edilmelidir</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Seyahat</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gideri</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ödemesi</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personelin</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yerleşik</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olduğu</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üniversite</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şehrinden</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faaliyet</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gerçekleştireceği</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üniversite</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şehrine</w:t>
      </w:r>
      <w:proofErr w:type="spellEnd"/>
      <w:r w:rsidRPr="00B44364">
        <w:rPr>
          <w:rFonts w:ascii="Times New Roman" w:hAnsi="Times New Roman" w:cs="Times New Roman"/>
          <w:sz w:val="24"/>
        </w:rPr>
        <w:t xml:space="preserve"> </w:t>
      </w:r>
      <w:proofErr w:type="spellStart"/>
      <w:proofErr w:type="gramStart"/>
      <w:r w:rsidRPr="00B44364">
        <w:rPr>
          <w:rFonts w:ascii="Times New Roman" w:hAnsi="Times New Roman" w:cs="Times New Roman"/>
          <w:sz w:val="24"/>
        </w:rPr>
        <w:t>kadar</w:t>
      </w:r>
      <w:proofErr w:type="spellEnd"/>
      <w:proofErr w:type="gram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olan</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ulaşımı</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lastRenderedPageBreak/>
        <w:t>karşılamaktadır</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Mesafe</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hesaplayıcısında</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belirtilen</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tutarın</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üstünde</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ücret</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ödenmesi</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mümkün</w:t>
      </w:r>
      <w:proofErr w:type="spellEnd"/>
      <w:r w:rsidRPr="00B44364">
        <w:rPr>
          <w:rFonts w:ascii="Times New Roman" w:hAnsi="Times New Roman" w:cs="Times New Roman"/>
          <w:sz w:val="24"/>
        </w:rPr>
        <w:t xml:space="preserve"> </w:t>
      </w:r>
      <w:proofErr w:type="spellStart"/>
      <w:r w:rsidRPr="00B44364">
        <w:rPr>
          <w:rFonts w:ascii="Times New Roman" w:hAnsi="Times New Roman" w:cs="Times New Roman"/>
          <w:sz w:val="24"/>
        </w:rPr>
        <w:t>olmayacaktır</w:t>
      </w:r>
      <w:proofErr w:type="spellEnd"/>
      <w:r w:rsidRPr="00B44364">
        <w:rPr>
          <w:rFonts w:ascii="Times New Roman" w:hAnsi="Times New Roman" w:cs="Times New Roman"/>
          <w:sz w:val="24"/>
        </w:rPr>
        <w:t xml:space="preserve">. </w:t>
      </w:r>
    </w:p>
    <w:p w:rsidR="00F766C8" w:rsidRPr="00A62BFB" w:rsidRDefault="00F918BB" w:rsidP="00A62BFB">
      <w:pPr>
        <w:jc w:val="both"/>
        <w:rPr>
          <w:rFonts w:ascii="Times New Roman" w:hAnsi="Times New Roman" w:cs="Times New Roman"/>
          <w:sz w:val="28"/>
          <w:szCs w:val="24"/>
          <w:lang w:val="tr-TR"/>
        </w:rPr>
      </w:pPr>
      <w:r w:rsidRPr="00F766C8">
        <w:rPr>
          <w:rFonts w:ascii="Times New Roman" w:hAnsi="Times New Roman" w:cs="Times New Roman"/>
          <w:b/>
          <w:sz w:val="24"/>
          <w:szCs w:val="24"/>
          <w:lang w:val="tr-TR"/>
        </w:rPr>
        <w:t>Dekanlıklar/Müdürlükler</w:t>
      </w:r>
      <w:r w:rsidR="00B44364">
        <w:rPr>
          <w:rFonts w:ascii="Times New Roman" w:hAnsi="Times New Roman" w:cs="Times New Roman"/>
          <w:b/>
          <w:sz w:val="24"/>
          <w:szCs w:val="24"/>
          <w:lang w:val="tr-TR"/>
        </w:rPr>
        <w:t>/Başkanlıklar</w:t>
      </w:r>
      <w:r w:rsidRPr="00F766C8">
        <w:rPr>
          <w:rFonts w:ascii="Times New Roman" w:hAnsi="Times New Roman" w:cs="Times New Roman"/>
          <w:b/>
          <w:sz w:val="24"/>
          <w:szCs w:val="24"/>
          <w:lang w:val="tr-TR"/>
        </w:rPr>
        <w:t>;</w:t>
      </w:r>
    </w:p>
    <w:p w:rsidR="00F918BB" w:rsidRPr="00CE6E90" w:rsidRDefault="00F918BB"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Kendilerinde toplanan başvuru </w:t>
      </w:r>
      <w:r w:rsidR="004A5A95">
        <w:rPr>
          <w:rFonts w:ascii="Times New Roman" w:hAnsi="Times New Roman" w:cs="Times New Roman"/>
          <w:sz w:val="24"/>
          <w:szCs w:val="24"/>
          <w:lang w:val="tr-TR"/>
        </w:rPr>
        <w:t>formlarını</w:t>
      </w:r>
      <w:r w:rsidRPr="00CE6E90">
        <w:rPr>
          <w:rFonts w:ascii="Times New Roman" w:hAnsi="Times New Roman" w:cs="Times New Roman"/>
          <w:sz w:val="24"/>
          <w:szCs w:val="24"/>
          <w:lang w:val="tr-TR"/>
        </w:rPr>
        <w:t xml:space="preserve"> ilan edilen son tarihe kadar bir üst yazıyla </w:t>
      </w:r>
      <w:r w:rsidR="00B44364">
        <w:rPr>
          <w:rFonts w:ascii="Times New Roman" w:hAnsi="Times New Roman" w:cs="Times New Roman"/>
          <w:sz w:val="24"/>
          <w:szCs w:val="24"/>
          <w:lang w:val="tr-TR"/>
        </w:rPr>
        <w:t>Dış İlişkiler Ofisi Başkanlığın</w:t>
      </w:r>
      <w:r w:rsidRPr="00CE6E90">
        <w:rPr>
          <w:rFonts w:ascii="Times New Roman" w:hAnsi="Times New Roman" w:cs="Times New Roman"/>
          <w:sz w:val="24"/>
          <w:szCs w:val="24"/>
          <w:lang w:val="tr-TR"/>
        </w:rPr>
        <w:t>a ileteceklerdir.</w:t>
      </w:r>
    </w:p>
    <w:p w:rsidR="00F766C8" w:rsidRPr="00F766C8" w:rsidRDefault="00F918BB" w:rsidP="00B44364">
      <w:pPr>
        <w:jc w:val="both"/>
        <w:rPr>
          <w:rFonts w:ascii="Times New Roman" w:hAnsi="Times New Roman" w:cs="Times New Roman"/>
          <w:b/>
          <w:sz w:val="24"/>
          <w:szCs w:val="24"/>
          <w:lang w:val="tr-TR"/>
        </w:rPr>
      </w:pPr>
      <w:r w:rsidRPr="00F766C8">
        <w:rPr>
          <w:rFonts w:ascii="Times New Roman" w:hAnsi="Times New Roman" w:cs="Times New Roman"/>
          <w:b/>
          <w:sz w:val="24"/>
          <w:szCs w:val="24"/>
          <w:lang w:val="tr-TR"/>
        </w:rPr>
        <w:t>Dış İlişkiler Ofisi;</w:t>
      </w:r>
    </w:p>
    <w:p w:rsidR="00F918BB" w:rsidRPr="00CE6E90" w:rsidRDefault="00F918BB" w:rsidP="00B44364">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Dekanlıklar/Müdürlükler</w:t>
      </w:r>
      <w:r w:rsidR="00B44364">
        <w:rPr>
          <w:rFonts w:ascii="Times New Roman" w:hAnsi="Times New Roman" w:cs="Times New Roman"/>
          <w:sz w:val="24"/>
          <w:szCs w:val="24"/>
          <w:lang w:val="tr-TR"/>
        </w:rPr>
        <w:t>/Başkanlıklar</w:t>
      </w:r>
      <w:r w:rsidR="00C27BEC">
        <w:rPr>
          <w:rFonts w:ascii="Times New Roman" w:hAnsi="Times New Roman" w:cs="Times New Roman"/>
          <w:sz w:val="24"/>
          <w:szCs w:val="24"/>
          <w:lang w:val="tr-TR"/>
        </w:rPr>
        <w:t xml:space="preserve"> </w:t>
      </w:r>
      <w:r w:rsidRPr="00CE6E90">
        <w:rPr>
          <w:rFonts w:ascii="Times New Roman" w:hAnsi="Times New Roman" w:cs="Times New Roman"/>
          <w:sz w:val="24"/>
          <w:szCs w:val="24"/>
          <w:lang w:val="tr-TR"/>
        </w:rPr>
        <w:t xml:space="preserve">tarafından iletilen başvuruları uygunluk kontrolünden geçirir. Uygun olan başvurular seçim komisyonuna sunulur. </w:t>
      </w:r>
    </w:p>
    <w:p w:rsidR="00F766C8" w:rsidRPr="00F766C8" w:rsidRDefault="00F918BB" w:rsidP="00B44364">
      <w:pPr>
        <w:jc w:val="both"/>
        <w:rPr>
          <w:rFonts w:ascii="Times New Roman" w:hAnsi="Times New Roman" w:cs="Times New Roman"/>
          <w:b/>
          <w:sz w:val="24"/>
          <w:szCs w:val="24"/>
          <w:lang w:val="tr-TR"/>
        </w:rPr>
      </w:pPr>
      <w:r w:rsidRPr="00F766C8">
        <w:rPr>
          <w:rFonts w:ascii="Times New Roman" w:hAnsi="Times New Roman" w:cs="Times New Roman"/>
          <w:b/>
          <w:sz w:val="24"/>
          <w:szCs w:val="24"/>
          <w:lang w:val="tr-TR"/>
        </w:rPr>
        <w:t>Seçim Komisyonu;</w:t>
      </w:r>
    </w:p>
    <w:p w:rsidR="00F918BB" w:rsidRPr="00CE6E90" w:rsidRDefault="00F918BB" w:rsidP="00B44364">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Başvuruların ve puanlamaların değerlendirilme süreci, Rektörlük tarafından ‘resmi görevlendirme’ ile görevlendirilmiş bir Seçim Komisyonu tarafından yürütülür.</w:t>
      </w:r>
    </w:p>
    <w:p w:rsidR="00F918BB" w:rsidRPr="00F766C8" w:rsidRDefault="00F918BB" w:rsidP="00B44364">
      <w:pPr>
        <w:jc w:val="both"/>
        <w:rPr>
          <w:rFonts w:ascii="Times New Roman" w:hAnsi="Times New Roman" w:cs="Times New Roman"/>
          <w:b/>
          <w:sz w:val="24"/>
          <w:szCs w:val="24"/>
          <w:lang w:val="tr-TR"/>
        </w:rPr>
      </w:pPr>
      <w:r w:rsidRPr="00F766C8">
        <w:rPr>
          <w:rFonts w:ascii="Times New Roman" w:hAnsi="Times New Roman" w:cs="Times New Roman"/>
          <w:b/>
          <w:sz w:val="24"/>
          <w:szCs w:val="24"/>
          <w:lang w:val="tr-TR"/>
        </w:rPr>
        <w:t>Değerlendirme Ölçütleri</w:t>
      </w:r>
    </w:p>
    <w:p w:rsidR="00F918BB" w:rsidRPr="00B44364" w:rsidRDefault="00F766C8" w:rsidP="00B44364">
      <w:pPr>
        <w:jc w:val="both"/>
        <w:rPr>
          <w:rFonts w:ascii="Times New Roman" w:hAnsi="Times New Roman" w:cs="Times New Roman"/>
          <w:sz w:val="24"/>
          <w:szCs w:val="24"/>
          <w:lang w:val="tr-TR"/>
        </w:rPr>
      </w:pPr>
      <w:r>
        <w:rPr>
          <w:rFonts w:ascii="Times New Roman" w:hAnsi="Times New Roman" w:cs="Times New Roman"/>
          <w:sz w:val="24"/>
          <w:szCs w:val="24"/>
          <w:lang w:val="tr-TR"/>
        </w:rPr>
        <w:t>Kayseri</w:t>
      </w:r>
      <w:r w:rsidR="00F918BB" w:rsidRPr="00CE6E90">
        <w:rPr>
          <w:rFonts w:ascii="Times New Roman" w:hAnsi="Times New Roman" w:cs="Times New Roman"/>
          <w:sz w:val="24"/>
          <w:szCs w:val="24"/>
          <w:lang w:val="tr-TR"/>
        </w:rPr>
        <w:t xml:space="preserve"> Üniversitesi, hareketlilikten faydalanacak personelin seçiminin tarafsız bir şekilde yapılmasını, şeffaflık ve adaletin gözetilmesini sağlamakla ve gerektiğinde seçim sürecine ait her </w:t>
      </w:r>
      <w:r w:rsidR="00F918BB" w:rsidRPr="00B44364">
        <w:rPr>
          <w:rFonts w:ascii="Times New Roman" w:hAnsi="Times New Roman" w:cs="Times New Roman"/>
          <w:sz w:val="24"/>
          <w:szCs w:val="24"/>
          <w:lang w:val="tr-TR"/>
        </w:rPr>
        <w:t xml:space="preserve">türlü belgeyi sunabilecek şekilde belgelendirme yapmakla yükümlüdür. </w:t>
      </w:r>
    </w:p>
    <w:p w:rsidR="00F918BB" w:rsidRPr="00B44364" w:rsidRDefault="00F918BB" w:rsidP="00B44364">
      <w:pPr>
        <w:jc w:val="both"/>
        <w:rPr>
          <w:rFonts w:ascii="Times New Roman" w:hAnsi="Times New Roman" w:cs="Times New Roman"/>
          <w:sz w:val="24"/>
          <w:szCs w:val="24"/>
          <w:lang w:val="tr-TR"/>
        </w:rPr>
      </w:pPr>
      <w:r w:rsidRPr="00B44364">
        <w:rPr>
          <w:rFonts w:ascii="Times New Roman" w:hAnsi="Times New Roman" w:cs="Times New Roman"/>
          <w:sz w:val="24"/>
          <w:szCs w:val="24"/>
          <w:lang w:val="tr-TR"/>
        </w:rPr>
        <w:t>Değerlendirme sürecinin adil ve tutarlı olabilmesi için tüm personele eşit derecede uygulanabilecek nitelikte değerlendirme ölçütleri belirlenmiştir.</w:t>
      </w:r>
    </w:p>
    <w:p w:rsidR="00B44364" w:rsidRPr="00B44364" w:rsidRDefault="00B44364" w:rsidP="00B44364">
      <w:pPr>
        <w:shd w:val="clear" w:color="auto" w:fill="FFFFFF"/>
        <w:spacing w:before="100" w:beforeAutospacing="1" w:after="100" w:afterAutospacing="1" w:line="240" w:lineRule="auto"/>
        <w:jc w:val="both"/>
        <w:rPr>
          <w:rFonts w:ascii="Times New Roman" w:hAnsi="Times New Roman" w:cs="Times New Roman"/>
          <w:sz w:val="24"/>
          <w:szCs w:val="24"/>
        </w:rPr>
      </w:pPr>
      <w:proofErr w:type="spellStart"/>
      <w:r w:rsidRPr="00B44364">
        <w:rPr>
          <w:rFonts w:ascii="Times New Roman" w:hAnsi="Times New Roman" w:cs="Times New Roman"/>
          <w:sz w:val="24"/>
          <w:szCs w:val="24"/>
        </w:rPr>
        <w:t>Belirtilen</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kontenjanlar</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tahmini</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olup</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personellerin</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gidecekleri</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ülkelere</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göre</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hibe</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miktarı</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değişeceği</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için</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farklılık</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gösterebilir</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Nihai</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sayı</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başvuru</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sonuçlarından</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sonra</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oluşacak</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tablo</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ve</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bütçe</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hesaplamalarının</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sonucunda</w:t>
      </w:r>
      <w:proofErr w:type="spellEnd"/>
      <w:r w:rsidRPr="00B44364">
        <w:rPr>
          <w:rFonts w:ascii="Times New Roman" w:hAnsi="Times New Roman" w:cs="Times New Roman"/>
          <w:sz w:val="24"/>
          <w:szCs w:val="24"/>
        </w:rPr>
        <w:t xml:space="preserve"> </w:t>
      </w:r>
      <w:proofErr w:type="spellStart"/>
      <w:r w:rsidRPr="00B44364">
        <w:rPr>
          <w:rFonts w:ascii="Times New Roman" w:hAnsi="Times New Roman" w:cs="Times New Roman"/>
          <w:sz w:val="24"/>
          <w:szCs w:val="24"/>
        </w:rPr>
        <w:t>kesinleştirilecektir</w:t>
      </w:r>
      <w:proofErr w:type="spellEnd"/>
      <w:r w:rsidRPr="00B44364">
        <w:rPr>
          <w:rFonts w:ascii="Times New Roman" w:hAnsi="Times New Roman" w:cs="Times New Roman"/>
          <w:sz w:val="24"/>
          <w:szCs w:val="24"/>
        </w:rPr>
        <w:t xml:space="preserve">. </w:t>
      </w:r>
    </w:p>
    <w:p w:rsidR="00F918BB" w:rsidRPr="00B44364" w:rsidRDefault="00B44364" w:rsidP="00B44364">
      <w:pPr>
        <w:shd w:val="clear" w:color="auto" w:fill="FFFFFF"/>
        <w:spacing w:before="100" w:beforeAutospacing="1" w:after="100" w:afterAutospacing="1" w:line="240" w:lineRule="auto"/>
        <w:jc w:val="both"/>
        <w:rPr>
          <w:rFonts w:ascii="Times New Roman" w:hAnsi="Times New Roman" w:cs="Times New Roman"/>
          <w:color w:val="FF0000"/>
          <w:sz w:val="24"/>
          <w:szCs w:val="24"/>
        </w:rPr>
      </w:pPr>
      <w:r w:rsidRPr="00B44364">
        <w:rPr>
          <w:rFonts w:ascii="Times New Roman" w:hAnsi="Times New Roman" w:cs="Times New Roman"/>
          <w:color w:val="FF0000"/>
          <w:sz w:val="24"/>
          <w:szCs w:val="24"/>
        </w:rPr>
        <w:t>*</w:t>
      </w:r>
      <w:proofErr w:type="spellStart"/>
      <w:r w:rsidRPr="00B44364">
        <w:rPr>
          <w:rFonts w:ascii="Times New Roman" w:hAnsi="Times New Roman" w:cs="Times New Roman"/>
          <w:color w:val="FF0000"/>
          <w:sz w:val="24"/>
          <w:szCs w:val="24"/>
        </w:rPr>
        <w:t>Projenin</w:t>
      </w:r>
      <w:proofErr w:type="spellEnd"/>
      <w:r w:rsidRPr="00B44364">
        <w:rPr>
          <w:rFonts w:ascii="Times New Roman" w:hAnsi="Times New Roman" w:cs="Times New Roman"/>
          <w:color w:val="FF0000"/>
          <w:sz w:val="24"/>
          <w:szCs w:val="24"/>
        </w:rPr>
        <w:t xml:space="preserve"> </w:t>
      </w:r>
      <w:proofErr w:type="spellStart"/>
      <w:r w:rsidRPr="00B44364">
        <w:rPr>
          <w:rFonts w:ascii="Times New Roman" w:hAnsi="Times New Roman" w:cs="Times New Roman"/>
          <w:color w:val="FF0000"/>
          <w:sz w:val="24"/>
          <w:szCs w:val="24"/>
        </w:rPr>
        <w:t>tematik</w:t>
      </w:r>
      <w:proofErr w:type="spellEnd"/>
      <w:r w:rsidRPr="00B44364">
        <w:rPr>
          <w:rFonts w:ascii="Times New Roman" w:hAnsi="Times New Roman" w:cs="Times New Roman"/>
          <w:color w:val="FF0000"/>
          <w:sz w:val="24"/>
          <w:szCs w:val="24"/>
        </w:rPr>
        <w:t xml:space="preserve"> </w:t>
      </w:r>
      <w:proofErr w:type="spellStart"/>
      <w:r w:rsidRPr="00B44364">
        <w:rPr>
          <w:rFonts w:ascii="Times New Roman" w:hAnsi="Times New Roman" w:cs="Times New Roman"/>
          <w:color w:val="FF0000"/>
          <w:sz w:val="24"/>
          <w:szCs w:val="24"/>
        </w:rPr>
        <w:t>odağı</w:t>
      </w:r>
      <w:proofErr w:type="spellEnd"/>
      <w:r w:rsidRPr="00B44364">
        <w:rPr>
          <w:rFonts w:ascii="Times New Roman" w:hAnsi="Times New Roman" w:cs="Times New Roman"/>
          <w:color w:val="FF0000"/>
          <w:sz w:val="24"/>
          <w:szCs w:val="24"/>
        </w:rPr>
        <w:t xml:space="preserve"> </w:t>
      </w:r>
      <w:proofErr w:type="spellStart"/>
      <w:r w:rsidRPr="00B44364">
        <w:rPr>
          <w:rFonts w:ascii="Times New Roman" w:hAnsi="Times New Roman" w:cs="Times New Roman"/>
          <w:color w:val="FF0000"/>
          <w:sz w:val="24"/>
          <w:szCs w:val="24"/>
        </w:rPr>
        <w:t>nedeniyle</w:t>
      </w:r>
      <w:proofErr w:type="spellEnd"/>
      <w:r w:rsidRPr="00B44364">
        <w:rPr>
          <w:rFonts w:ascii="Times New Roman" w:hAnsi="Times New Roman" w:cs="Times New Roman"/>
          <w:color w:val="FF0000"/>
          <w:sz w:val="24"/>
          <w:szCs w:val="24"/>
        </w:rPr>
        <w:t xml:space="preserve">, </w:t>
      </w:r>
      <w:proofErr w:type="spellStart"/>
      <w:r w:rsidRPr="00B44364">
        <w:rPr>
          <w:rFonts w:ascii="Times New Roman" w:hAnsi="Times New Roman" w:cs="Times New Roman"/>
          <w:color w:val="FF0000"/>
          <w:sz w:val="24"/>
          <w:szCs w:val="24"/>
        </w:rPr>
        <w:t>kontenjanlar</w:t>
      </w:r>
      <w:proofErr w:type="spellEnd"/>
      <w:r w:rsidRPr="00B44364">
        <w:rPr>
          <w:rFonts w:ascii="Times New Roman" w:hAnsi="Times New Roman" w:cs="Times New Roman"/>
          <w:color w:val="FF0000"/>
          <w:sz w:val="24"/>
          <w:szCs w:val="24"/>
        </w:rPr>
        <w:t xml:space="preserve"> </w:t>
      </w:r>
      <w:proofErr w:type="spellStart"/>
      <w:r w:rsidRPr="00B44364">
        <w:rPr>
          <w:rFonts w:ascii="Times New Roman" w:hAnsi="Times New Roman" w:cs="Times New Roman"/>
          <w:color w:val="FF0000"/>
          <w:sz w:val="24"/>
          <w:szCs w:val="24"/>
        </w:rPr>
        <w:t>sadece</w:t>
      </w:r>
      <w:proofErr w:type="spellEnd"/>
      <w:r w:rsidRPr="00B44364">
        <w:rPr>
          <w:rFonts w:ascii="Times New Roman" w:hAnsi="Times New Roman" w:cs="Times New Roman"/>
          <w:color w:val="FF0000"/>
          <w:sz w:val="24"/>
          <w:szCs w:val="24"/>
        </w:rPr>
        <w:t xml:space="preserve"> </w:t>
      </w:r>
      <w:proofErr w:type="spellStart"/>
      <w:r w:rsidR="00C27BEC">
        <w:rPr>
          <w:rFonts w:ascii="Times New Roman" w:hAnsi="Times New Roman" w:cs="Times New Roman"/>
          <w:color w:val="FF0000"/>
          <w:sz w:val="24"/>
          <w:szCs w:val="24"/>
        </w:rPr>
        <w:t>Strateji</w:t>
      </w:r>
      <w:proofErr w:type="spellEnd"/>
      <w:r w:rsidR="00C27BEC">
        <w:rPr>
          <w:rFonts w:ascii="Times New Roman" w:hAnsi="Times New Roman" w:cs="Times New Roman"/>
          <w:color w:val="FF0000"/>
          <w:sz w:val="24"/>
          <w:szCs w:val="24"/>
        </w:rPr>
        <w:t xml:space="preserve"> </w:t>
      </w:r>
      <w:proofErr w:type="spellStart"/>
      <w:r w:rsidR="00C27BEC">
        <w:rPr>
          <w:rFonts w:ascii="Times New Roman" w:hAnsi="Times New Roman" w:cs="Times New Roman"/>
          <w:color w:val="FF0000"/>
          <w:sz w:val="24"/>
          <w:szCs w:val="24"/>
        </w:rPr>
        <w:t>Geliştirme</w:t>
      </w:r>
      <w:proofErr w:type="spellEnd"/>
      <w:r w:rsidRPr="00B44364">
        <w:rPr>
          <w:rFonts w:ascii="Times New Roman" w:hAnsi="Times New Roman" w:cs="Times New Roman"/>
          <w:color w:val="FF0000"/>
          <w:sz w:val="24"/>
          <w:szCs w:val="24"/>
        </w:rPr>
        <w:t xml:space="preserve"> </w:t>
      </w:r>
      <w:proofErr w:type="spellStart"/>
      <w:r w:rsidRPr="00B44364">
        <w:rPr>
          <w:rFonts w:ascii="Times New Roman" w:hAnsi="Times New Roman" w:cs="Times New Roman"/>
          <w:color w:val="FF0000"/>
          <w:sz w:val="24"/>
          <w:szCs w:val="24"/>
        </w:rPr>
        <w:t>Daire</w:t>
      </w:r>
      <w:proofErr w:type="spellEnd"/>
      <w:r w:rsidRPr="00B44364">
        <w:rPr>
          <w:rFonts w:ascii="Times New Roman" w:hAnsi="Times New Roman" w:cs="Times New Roman"/>
          <w:color w:val="FF0000"/>
          <w:sz w:val="24"/>
          <w:szCs w:val="24"/>
        </w:rPr>
        <w:t xml:space="preserve"> </w:t>
      </w:r>
      <w:proofErr w:type="spellStart"/>
      <w:r w:rsidRPr="00B44364">
        <w:rPr>
          <w:rFonts w:ascii="Times New Roman" w:hAnsi="Times New Roman" w:cs="Times New Roman"/>
          <w:color w:val="FF0000"/>
          <w:sz w:val="24"/>
          <w:szCs w:val="24"/>
        </w:rPr>
        <w:t>Başkanlığı</w:t>
      </w:r>
      <w:proofErr w:type="spellEnd"/>
      <w:r w:rsidRPr="00B44364">
        <w:rPr>
          <w:rFonts w:ascii="Times New Roman" w:hAnsi="Times New Roman" w:cs="Times New Roman"/>
          <w:color w:val="FF0000"/>
          <w:sz w:val="24"/>
          <w:szCs w:val="24"/>
        </w:rPr>
        <w:t xml:space="preserve"> </w:t>
      </w:r>
      <w:proofErr w:type="spellStart"/>
      <w:r w:rsidRPr="00B44364">
        <w:rPr>
          <w:rFonts w:ascii="Times New Roman" w:hAnsi="Times New Roman" w:cs="Times New Roman"/>
          <w:color w:val="FF0000"/>
          <w:sz w:val="24"/>
          <w:szCs w:val="24"/>
        </w:rPr>
        <w:t>personellerine</w:t>
      </w:r>
      <w:proofErr w:type="spellEnd"/>
      <w:r w:rsidRPr="00B44364">
        <w:rPr>
          <w:rFonts w:ascii="Times New Roman" w:hAnsi="Times New Roman" w:cs="Times New Roman"/>
          <w:color w:val="FF0000"/>
          <w:sz w:val="24"/>
          <w:szCs w:val="24"/>
        </w:rPr>
        <w:t xml:space="preserve"> </w:t>
      </w:r>
      <w:proofErr w:type="spellStart"/>
      <w:r w:rsidRPr="00B44364">
        <w:rPr>
          <w:rFonts w:ascii="Times New Roman" w:hAnsi="Times New Roman" w:cs="Times New Roman"/>
          <w:color w:val="FF0000"/>
          <w:sz w:val="24"/>
          <w:szCs w:val="24"/>
        </w:rPr>
        <w:t>açıktır</w:t>
      </w:r>
      <w:proofErr w:type="spellEnd"/>
      <w:r w:rsidRPr="00B44364">
        <w:rPr>
          <w:rFonts w:ascii="Times New Roman" w:hAnsi="Times New Roman" w:cs="Times New Roman"/>
          <w:color w:val="FF0000"/>
          <w:sz w:val="24"/>
          <w:szCs w:val="24"/>
        </w:rPr>
        <w:t>.</w:t>
      </w:r>
    </w:p>
    <w:p w:rsidR="00CE6E90" w:rsidRPr="00F766C8" w:rsidRDefault="00F918BB"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Hibe Desteği</w:t>
      </w:r>
    </w:p>
    <w:p w:rsidR="00CE6E90" w:rsidRPr="00CE6E90" w:rsidRDefault="00F918BB" w:rsidP="00B44364">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hareketliliğinden faydalanan personele verilen hibe katkı niteliğinde olup; verilen hibe yurtdışında geçirilen döneme ilişkin masrafların tamamını karşılamaya yönelik değildir. Personele verilecek hibe miktarı konusunda, yükseköğretim kurumuna sunulan alternatifler üniversite ile personel arasında imzalanması gereken standart sözleşme metninde yer almaktadır. Buna göre hareketlilikten faydalanan personele gidiş-dönüş günleri için ödeme yapılmayacak, </w:t>
      </w:r>
      <w:r w:rsidRPr="00F766C8">
        <w:rPr>
          <w:rFonts w:ascii="Times New Roman" w:hAnsi="Times New Roman" w:cs="Times New Roman"/>
          <w:b/>
          <w:sz w:val="24"/>
          <w:szCs w:val="24"/>
          <w:lang w:val="tr-TR"/>
        </w:rPr>
        <w:t>sadece faaliyet süresince ödeme yapılacaktır</w:t>
      </w:r>
      <w:r w:rsidRPr="00CE6E90">
        <w:rPr>
          <w:rFonts w:ascii="Times New Roman" w:hAnsi="Times New Roman" w:cs="Times New Roman"/>
          <w:sz w:val="24"/>
          <w:szCs w:val="24"/>
          <w:lang w:val="tr-TR"/>
        </w:rPr>
        <w:t xml:space="preserve">. </w:t>
      </w:r>
    </w:p>
    <w:p w:rsidR="00F918BB" w:rsidRDefault="00F918BB" w:rsidP="00B44364">
      <w:pPr>
        <w:jc w:val="both"/>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hareketliliğinden faydalanacak personele verilecek olan gündelik miktarı gidilen ülke ile birlikte gidilen süreye göre aşağıdaki tabloda belirtilen tutarlar dikkate alınarak hesaplanır. Tabloda gösterilen miktarlar </w:t>
      </w:r>
      <w:r w:rsidR="00B44364">
        <w:rPr>
          <w:rFonts w:ascii="Times New Roman" w:hAnsi="Times New Roman" w:cs="Times New Roman"/>
          <w:sz w:val="24"/>
          <w:szCs w:val="24"/>
          <w:lang w:val="tr-TR"/>
        </w:rPr>
        <w:t>Euro</w:t>
      </w:r>
      <w:r w:rsidRPr="00CE6E90">
        <w:rPr>
          <w:rFonts w:ascii="Times New Roman" w:hAnsi="Times New Roman" w:cs="Times New Roman"/>
          <w:sz w:val="24"/>
          <w:szCs w:val="24"/>
          <w:lang w:val="tr-TR"/>
        </w:rPr>
        <w:t xml:space="preserve"> cinsindendir.</w:t>
      </w:r>
    </w:p>
    <w:p w:rsidR="00B44364" w:rsidRDefault="00B44364" w:rsidP="00B44364">
      <w:pPr>
        <w:jc w:val="both"/>
        <w:rPr>
          <w:rFonts w:ascii="Times New Roman" w:hAnsi="Times New Roman" w:cs="Times New Roman"/>
          <w:sz w:val="24"/>
          <w:szCs w:val="24"/>
          <w:lang w:val="tr-TR"/>
        </w:rPr>
      </w:pPr>
    </w:p>
    <w:p w:rsidR="00B44364" w:rsidRDefault="00B44364" w:rsidP="00B44364">
      <w:pPr>
        <w:jc w:val="both"/>
        <w:rPr>
          <w:rFonts w:ascii="Times New Roman" w:hAnsi="Times New Roman" w:cs="Times New Roman"/>
          <w:sz w:val="24"/>
          <w:szCs w:val="24"/>
          <w:lang w:val="tr-TR"/>
        </w:rPr>
      </w:pPr>
    </w:p>
    <w:p w:rsidR="00B44364" w:rsidRDefault="00B44364" w:rsidP="00B44364">
      <w:pPr>
        <w:jc w:val="both"/>
        <w:rPr>
          <w:rFonts w:ascii="Times New Roman" w:hAnsi="Times New Roman" w:cs="Times New Roman"/>
          <w:sz w:val="24"/>
          <w:szCs w:val="24"/>
          <w:lang w:val="tr-TR"/>
        </w:rPr>
      </w:pPr>
    </w:p>
    <w:p w:rsidR="00B44364" w:rsidRDefault="00B44364" w:rsidP="00B44364">
      <w:pPr>
        <w:jc w:val="both"/>
        <w:rPr>
          <w:rFonts w:ascii="Times New Roman" w:hAnsi="Times New Roman" w:cs="Times New Roman"/>
          <w:sz w:val="24"/>
          <w:szCs w:val="24"/>
          <w:lang w:val="tr-TR"/>
        </w:rPr>
      </w:pPr>
    </w:p>
    <w:p w:rsidR="00B44364" w:rsidRDefault="00B44364" w:rsidP="00B44364">
      <w:pPr>
        <w:jc w:val="both"/>
        <w:rPr>
          <w:rFonts w:ascii="Times New Roman" w:hAnsi="Times New Roman" w:cs="Times New Roman"/>
          <w:sz w:val="24"/>
          <w:szCs w:val="24"/>
          <w:lang w:val="tr-TR"/>
        </w:rPr>
      </w:pPr>
    </w:p>
    <w:p w:rsidR="00B44364" w:rsidRDefault="00B44364" w:rsidP="00B44364">
      <w:pPr>
        <w:jc w:val="both"/>
        <w:rPr>
          <w:rFonts w:ascii="Times New Roman" w:hAnsi="Times New Roman" w:cs="Times New Roman"/>
          <w:sz w:val="24"/>
          <w:szCs w:val="24"/>
          <w:lang w:val="tr-TR"/>
        </w:rPr>
      </w:pPr>
    </w:p>
    <w:p w:rsidR="00B44364" w:rsidRPr="00CE6E90" w:rsidRDefault="00C27BEC" w:rsidP="00B44364">
      <w:pPr>
        <w:pStyle w:val="NormalWeb"/>
        <w:spacing w:before="0" w:beforeAutospacing="0"/>
      </w:pPr>
      <w:r>
        <w:t>2023-1-TR01-KA131-HED-</w:t>
      </w:r>
      <w:proofErr w:type="gramStart"/>
      <w:r>
        <w:t>000121630</w:t>
      </w:r>
      <w:proofErr w:type="gramEnd"/>
      <w:r w:rsidR="00B44364" w:rsidRPr="000C0546">
        <w:t xml:space="preserve"> Proje Dönemi Ülkel</w:t>
      </w:r>
      <w:r w:rsidR="00B44364">
        <w:t>ere Göre Günlük Hibe Miktarları</w:t>
      </w:r>
    </w:p>
    <w:tbl>
      <w:tblPr>
        <w:tblStyle w:val="TableNormal"/>
        <w:tblpPr w:leftFromText="141" w:rightFromText="141" w:vertAnchor="text" w:horzAnchor="margin" w:tblpXSpec="center" w:tblpY="-85"/>
        <w:tblW w:w="99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9"/>
        <w:gridCol w:w="5660"/>
        <w:gridCol w:w="1984"/>
      </w:tblGrid>
      <w:tr w:rsidR="00B44364" w:rsidRPr="000C0546" w:rsidTr="00C27BEC">
        <w:trPr>
          <w:trHeight w:val="978"/>
          <w:jc w:val="center"/>
        </w:trPr>
        <w:tc>
          <w:tcPr>
            <w:tcW w:w="2279" w:type="dxa"/>
          </w:tcPr>
          <w:p w:rsidR="00B44364" w:rsidRPr="000C0546" w:rsidRDefault="00B44364" w:rsidP="00C27BEC">
            <w:pPr>
              <w:pStyle w:val="TableParagraph"/>
              <w:spacing w:before="7"/>
              <w:ind w:left="0"/>
              <w:rPr>
                <w:sz w:val="24"/>
                <w:szCs w:val="24"/>
              </w:rPr>
            </w:pPr>
          </w:p>
          <w:p w:rsidR="00B44364" w:rsidRPr="000C0546" w:rsidRDefault="00B44364" w:rsidP="00C27BEC">
            <w:pPr>
              <w:pStyle w:val="TableParagraph"/>
              <w:spacing w:before="1"/>
              <w:rPr>
                <w:b/>
                <w:sz w:val="24"/>
                <w:szCs w:val="24"/>
              </w:rPr>
            </w:pPr>
            <w:r w:rsidRPr="000C0546">
              <w:rPr>
                <w:b/>
                <w:sz w:val="24"/>
                <w:szCs w:val="24"/>
              </w:rPr>
              <w:t>Ülke Grupları</w:t>
            </w:r>
          </w:p>
        </w:tc>
        <w:tc>
          <w:tcPr>
            <w:tcW w:w="5660" w:type="dxa"/>
          </w:tcPr>
          <w:p w:rsidR="00B44364" w:rsidRPr="000C0546" w:rsidRDefault="00B44364" w:rsidP="00C27BEC">
            <w:pPr>
              <w:pStyle w:val="TableParagraph"/>
              <w:spacing w:before="7"/>
              <w:ind w:left="0"/>
              <w:rPr>
                <w:sz w:val="24"/>
                <w:szCs w:val="24"/>
              </w:rPr>
            </w:pPr>
          </w:p>
          <w:p w:rsidR="00B44364" w:rsidRPr="000C0546" w:rsidRDefault="00B44364" w:rsidP="00C27BEC">
            <w:pPr>
              <w:pStyle w:val="TableParagraph"/>
              <w:spacing w:before="1"/>
              <w:ind w:left="743"/>
              <w:rPr>
                <w:b/>
                <w:sz w:val="24"/>
                <w:szCs w:val="24"/>
              </w:rPr>
            </w:pPr>
            <w:r w:rsidRPr="000C0546">
              <w:rPr>
                <w:b/>
                <w:sz w:val="24"/>
                <w:szCs w:val="24"/>
              </w:rPr>
              <w:t>Hareketlilikte Misafir Olunan Ülkeler</w:t>
            </w:r>
          </w:p>
        </w:tc>
        <w:tc>
          <w:tcPr>
            <w:tcW w:w="1984" w:type="dxa"/>
            <w:vAlign w:val="center"/>
          </w:tcPr>
          <w:p w:rsidR="00B44364" w:rsidRPr="000C0546" w:rsidRDefault="00B44364" w:rsidP="00C27BEC">
            <w:pPr>
              <w:pStyle w:val="TableParagraph"/>
              <w:ind w:left="133"/>
              <w:jc w:val="center"/>
              <w:rPr>
                <w:b/>
                <w:sz w:val="24"/>
                <w:szCs w:val="24"/>
              </w:rPr>
            </w:pPr>
            <w:r w:rsidRPr="000C0546">
              <w:rPr>
                <w:b/>
                <w:sz w:val="24"/>
                <w:szCs w:val="24"/>
              </w:rPr>
              <w:t>Günlük hibe miktarları (Avro)</w:t>
            </w:r>
          </w:p>
        </w:tc>
      </w:tr>
      <w:tr w:rsidR="00B44364" w:rsidRPr="000C0546" w:rsidTr="00C27BEC">
        <w:trPr>
          <w:trHeight w:val="702"/>
          <w:jc w:val="center"/>
        </w:trPr>
        <w:tc>
          <w:tcPr>
            <w:tcW w:w="2279" w:type="dxa"/>
            <w:vAlign w:val="center"/>
          </w:tcPr>
          <w:p w:rsidR="00B44364" w:rsidRPr="00C27BEC" w:rsidRDefault="00C27BEC" w:rsidP="00C27BEC">
            <w:pPr>
              <w:pStyle w:val="TableParagraph"/>
              <w:tabs>
                <w:tab w:val="left" w:pos="1192"/>
              </w:tabs>
              <w:jc w:val="center"/>
            </w:pPr>
            <w:r w:rsidRPr="00C27BEC">
              <w:t xml:space="preserve">1.Grup </w:t>
            </w:r>
            <w:r w:rsidR="00B44364" w:rsidRPr="00C27BEC">
              <w:rPr>
                <w:spacing w:val="-4"/>
              </w:rPr>
              <w:t xml:space="preserve">Program </w:t>
            </w:r>
            <w:r w:rsidR="00B44364" w:rsidRPr="00C27BEC">
              <w:t>Ülkeleri</w:t>
            </w:r>
          </w:p>
        </w:tc>
        <w:tc>
          <w:tcPr>
            <w:tcW w:w="5660" w:type="dxa"/>
          </w:tcPr>
          <w:p w:rsidR="00B44364" w:rsidRPr="000C0546" w:rsidRDefault="00B44364" w:rsidP="00C27BEC">
            <w:pPr>
              <w:pStyle w:val="TableParagraph"/>
              <w:tabs>
                <w:tab w:val="left" w:pos="1455"/>
                <w:tab w:val="left" w:pos="2764"/>
                <w:tab w:val="left" w:pos="3724"/>
                <w:tab w:val="left" w:pos="4511"/>
              </w:tabs>
              <w:rPr>
                <w:sz w:val="24"/>
                <w:szCs w:val="24"/>
              </w:rPr>
            </w:pPr>
            <w:r w:rsidRPr="000C0546">
              <w:rPr>
                <w:sz w:val="24"/>
                <w:szCs w:val="24"/>
              </w:rPr>
              <w:t>Danimarka,</w:t>
            </w:r>
            <w:r w:rsidRPr="000C0546">
              <w:rPr>
                <w:sz w:val="24"/>
                <w:szCs w:val="24"/>
              </w:rPr>
              <w:tab/>
              <w:t>Finlandiya,</w:t>
            </w:r>
            <w:r w:rsidRPr="000C0546">
              <w:rPr>
                <w:sz w:val="24"/>
                <w:szCs w:val="24"/>
              </w:rPr>
              <w:tab/>
              <w:t>İrlanda,</w:t>
            </w:r>
            <w:r w:rsidRPr="000C0546">
              <w:rPr>
                <w:sz w:val="24"/>
                <w:szCs w:val="24"/>
              </w:rPr>
              <w:tab/>
              <w:t>İsveç,</w:t>
            </w:r>
            <w:r w:rsidRPr="000C0546">
              <w:rPr>
                <w:sz w:val="24"/>
                <w:szCs w:val="24"/>
              </w:rPr>
              <w:tab/>
            </w:r>
            <w:r w:rsidRPr="000C0546">
              <w:rPr>
                <w:spacing w:val="-3"/>
                <w:sz w:val="24"/>
                <w:szCs w:val="24"/>
              </w:rPr>
              <w:t xml:space="preserve">İzlanda, </w:t>
            </w:r>
            <w:r w:rsidRPr="000C0546">
              <w:rPr>
                <w:sz w:val="24"/>
                <w:szCs w:val="24"/>
              </w:rPr>
              <w:t>Lihtenştayn, Lüksemburg,</w:t>
            </w:r>
            <w:r w:rsidRPr="000C0546">
              <w:rPr>
                <w:spacing w:val="1"/>
                <w:sz w:val="24"/>
                <w:szCs w:val="24"/>
              </w:rPr>
              <w:t xml:space="preserve"> </w:t>
            </w:r>
            <w:r w:rsidRPr="000C0546">
              <w:rPr>
                <w:sz w:val="24"/>
                <w:szCs w:val="24"/>
              </w:rPr>
              <w:t>Norveç</w:t>
            </w:r>
          </w:p>
        </w:tc>
        <w:tc>
          <w:tcPr>
            <w:tcW w:w="1984" w:type="dxa"/>
          </w:tcPr>
          <w:p w:rsidR="00B44364" w:rsidRPr="000C0546" w:rsidRDefault="00B44364" w:rsidP="00C27BEC">
            <w:pPr>
              <w:pStyle w:val="TableParagraph"/>
              <w:spacing w:before="130"/>
              <w:ind w:left="129"/>
              <w:jc w:val="center"/>
              <w:rPr>
                <w:sz w:val="24"/>
                <w:szCs w:val="24"/>
              </w:rPr>
            </w:pPr>
            <w:r w:rsidRPr="000C0546">
              <w:rPr>
                <w:sz w:val="24"/>
                <w:szCs w:val="24"/>
              </w:rPr>
              <w:t>162 Avro</w:t>
            </w:r>
          </w:p>
        </w:tc>
      </w:tr>
      <w:tr w:rsidR="00B44364" w:rsidRPr="000C0546" w:rsidTr="00C27BEC">
        <w:trPr>
          <w:trHeight w:val="827"/>
          <w:jc w:val="center"/>
        </w:trPr>
        <w:tc>
          <w:tcPr>
            <w:tcW w:w="2279" w:type="dxa"/>
            <w:vAlign w:val="center"/>
          </w:tcPr>
          <w:p w:rsidR="00B44364" w:rsidRPr="00C27BEC" w:rsidRDefault="00C27BEC" w:rsidP="00C27BEC">
            <w:pPr>
              <w:pStyle w:val="TableParagraph"/>
              <w:tabs>
                <w:tab w:val="left" w:pos="1192"/>
              </w:tabs>
              <w:spacing w:before="54"/>
              <w:jc w:val="center"/>
            </w:pPr>
            <w:r>
              <w:t xml:space="preserve">2.Grup </w:t>
            </w:r>
            <w:r w:rsidR="00B44364" w:rsidRPr="00C27BEC">
              <w:rPr>
                <w:spacing w:val="-4"/>
              </w:rPr>
              <w:t xml:space="preserve">Program </w:t>
            </w:r>
            <w:r w:rsidR="00B44364" w:rsidRPr="00C27BEC">
              <w:t>Ülkeleri</w:t>
            </w:r>
          </w:p>
        </w:tc>
        <w:tc>
          <w:tcPr>
            <w:tcW w:w="5660" w:type="dxa"/>
          </w:tcPr>
          <w:p w:rsidR="00B44364" w:rsidRPr="000C0546" w:rsidRDefault="00B44364" w:rsidP="00C27BEC">
            <w:pPr>
              <w:pStyle w:val="TableParagraph"/>
              <w:spacing w:line="268" w:lineRule="exact"/>
              <w:rPr>
                <w:sz w:val="24"/>
                <w:szCs w:val="24"/>
              </w:rPr>
            </w:pPr>
            <w:r w:rsidRPr="000C0546">
              <w:rPr>
                <w:sz w:val="24"/>
                <w:szCs w:val="24"/>
              </w:rPr>
              <w:t>Almanya, Avusturya, Belçika, Fransa, Güney Kıbrıs,</w:t>
            </w:r>
          </w:p>
          <w:p w:rsidR="00B44364" w:rsidRPr="000C0546" w:rsidRDefault="00B44364" w:rsidP="00C27BEC">
            <w:pPr>
              <w:pStyle w:val="TableParagraph"/>
              <w:spacing w:line="270" w:lineRule="atLeast"/>
              <w:rPr>
                <w:sz w:val="24"/>
                <w:szCs w:val="24"/>
              </w:rPr>
            </w:pPr>
            <w:r w:rsidRPr="000C0546">
              <w:rPr>
                <w:sz w:val="24"/>
                <w:szCs w:val="24"/>
              </w:rPr>
              <w:t>Hollanda, İspanya, İtalya, Malta, Portekiz, Yunanistan</w:t>
            </w:r>
          </w:p>
        </w:tc>
        <w:tc>
          <w:tcPr>
            <w:tcW w:w="1984" w:type="dxa"/>
          </w:tcPr>
          <w:p w:rsidR="00B44364" w:rsidRPr="000C0546" w:rsidRDefault="00B44364" w:rsidP="00C27BEC">
            <w:pPr>
              <w:pStyle w:val="TableParagraph"/>
              <w:spacing w:before="193"/>
              <w:ind w:left="129"/>
              <w:jc w:val="center"/>
              <w:rPr>
                <w:sz w:val="24"/>
                <w:szCs w:val="24"/>
              </w:rPr>
            </w:pPr>
            <w:r w:rsidRPr="000C0546">
              <w:rPr>
                <w:sz w:val="24"/>
                <w:szCs w:val="24"/>
              </w:rPr>
              <w:t>144 Avro</w:t>
            </w:r>
          </w:p>
        </w:tc>
      </w:tr>
      <w:tr w:rsidR="00B44364" w:rsidRPr="000C0546" w:rsidTr="00C27BEC">
        <w:trPr>
          <w:trHeight w:val="978"/>
          <w:jc w:val="center"/>
        </w:trPr>
        <w:tc>
          <w:tcPr>
            <w:tcW w:w="2279" w:type="dxa"/>
            <w:vAlign w:val="center"/>
          </w:tcPr>
          <w:p w:rsidR="00B44364" w:rsidRPr="00C27BEC" w:rsidRDefault="00C27BEC" w:rsidP="00C27BEC">
            <w:pPr>
              <w:pStyle w:val="TableParagraph"/>
              <w:tabs>
                <w:tab w:val="left" w:pos="1192"/>
              </w:tabs>
              <w:spacing w:before="130"/>
              <w:jc w:val="center"/>
            </w:pPr>
            <w:r>
              <w:t xml:space="preserve">3.Grup </w:t>
            </w:r>
            <w:r w:rsidR="00B44364" w:rsidRPr="00C27BEC">
              <w:rPr>
                <w:spacing w:val="-4"/>
              </w:rPr>
              <w:t xml:space="preserve">Program </w:t>
            </w:r>
            <w:r w:rsidR="00B44364" w:rsidRPr="00C27BEC">
              <w:t>Ülkeleri</w:t>
            </w:r>
          </w:p>
        </w:tc>
        <w:tc>
          <w:tcPr>
            <w:tcW w:w="5660" w:type="dxa"/>
          </w:tcPr>
          <w:p w:rsidR="00B44364" w:rsidRPr="000C0546" w:rsidRDefault="00B44364" w:rsidP="00C27BEC">
            <w:pPr>
              <w:pStyle w:val="TableParagraph"/>
              <w:jc w:val="both"/>
              <w:rPr>
                <w:sz w:val="24"/>
                <w:szCs w:val="24"/>
              </w:rPr>
            </w:pPr>
            <w:r w:rsidRPr="000C0546">
              <w:rPr>
                <w:sz w:val="24"/>
                <w:szCs w:val="24"/>
              </w:rPr>
              <w:t>Bulgaristan, Çek Cu</w:t>
            </w:r>
            <w:r w:rsidR="00C27BEC">
              <w:rPr>
                <w:sz w:val="24"/>
                <w:szCs w:val="24"/>
              </w:rPr>
              <w:t xml:space="preserve">mhuriyeti, Estonya, Hırvatistan, </w:t>
            </w:r>
            <w:r w:rsidRPr="000C0546">
              <w:rPr>
                <w:sz w:val="24"/>
                <w:szCs w:val="24"/>
              </w:rPr>
              <w:t xml:space="preserve">Letonya, Litvanya, Macaristan, </w:t>
            </w:r>
            <w:r w:rsidR="00C27BEC">
              <w:rPr>
                <w:sz w:val="24"/>
                <w:szCs w:val="24"/>
              </w:rPr>
              <w:t xml:space="preserve">Kuzey </w:t>
            </w:r>
            <w:r w:rsidRPr="000C0546">
              <w:rPr>
                <w:sz w:val="24"/>
                <w:szCs w:val="24"/>
              </w:rPr>
              <w:t xml:space="preserve">Makedonya, Polonya, Romanya, Sırbistan, Slovakya, Slovenya, Türkiye </w:t>
            </w:r>
            <w:r w:rsidRPr="000C0546">
              <w:rPr>
                <w:i/>
                <w:sz w:val="24"/>
                <w:szCs w:val="24"/>
              </w:rPr>
              <w:t>*</w:t>
            </w:r>
            <w:r w:rsidRPr="000C0546">
              <w:rPr>
                <w:sz w:val="24"/>
                <w:szCs w:val="24"/>
              </w:rPr>
              <w:t>,</w:t>
            </w:r>
          </w:p>
        </w:tc>
        <w:tc>
          <w:tcPr>
            <w:tcW w:w="1984" w:type="dxa"/>
          </w:tcPr>
          <w:p w:rsidR="00B44364" w:rsidRPr="000C0546" w:rsidRDefault="00B44364" w:rsidP="00C27BEC">
            <w:pPr>
              <w:pStyle w:val="TableParagraph"/>
              <w:spacing w:before="3"/>
              <w:ind w:left="0"/>
              <w:rPr>
                <w:sz w:val="24"/>
                <w:szCs w:val="24"/>
              </w:rPr>
            </w:pPr>
          </w:p>
          <w:p w:rsidR="00B44364" w:rsidRPr="000C0546" w:rsidRDefault="00B44364" w:rsidP="00C27BEC">
            <w:pPr>
              <w:pStyle w:val="TableParagraph"/>
              <w:ind w:left="129"/>
              <w:jc w:val="center"/>
              <w:rPr>
                <w:sz w:val="24"/>
                <w:szCs w:val="24"/>
              </w:rPr>
            </w:pPr>
            <w:r w:rsidRPr="000C0546">
              <w:rPr>
                <w:sz w:val="24"/>
                <w:szCs w:val="24"/>
              </w:rPr>
              <w:t>126 Avro</w:t>
            </w:r>
          </w:p>
        </w:tc>
      </w:tr>
    </w:tbl>
    <w:p w:rsidR="00CE6E90" w:rsidRPr="00CE6E90" w:rsidRDefault="00CE6E90" w:rsidP="00493636">
      <w:pPr>
        <w:rPr>
          <w:rFonts w:ascii="Times New Roman" w:hAnsi="Times New Roman" w:cs="Times New Roman"/>
          <w:sz w:val="24"/>
          <w:szCs w:val="24"/>
          <w:lang w:val="tr-TR"/>
        </w:rPr>
      </w:pPr>
    </w:p>
    <w:p w:rsidR="00CE6E90" w:rsidRPr="00F766C8" w:rsidRDefault="00CE6E90"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Seyahat Desteği</w:t>
      </w:r>
    </w:p>
    <w:p w:rsidR="00CE6E90" w:rsidRPr="00CE6E90" w:rsidRDefault="00CE6E90"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 xml:space="preserve">Personel hareketliliği faaliyetinden faydalanan personeline ödenecek seyahat gideri miktarı Avrupa Komisyonu tarafından sunulan “Mesafe Hesaplayıcı” kullanılarak hesap edilecektir. Mesafe hesaplayıcısına aşağıdaki bağlantıdan ulaşılabilmektedir: </w:t>
      </w:r>
      <w:hyperlink r:id="rId5" w:history="1">
        <w:r w:rsidRPr="00CE6E90">
          <w:rPr>
            <w:rStyle w:val="Kpr"/>
            <w:rFonts w:ascii="Times New Roman" w:hAnsi="Times New Roman" w:cs="Times New Roman"/>
            <w:sz w:val="24"/>
            <w:szCs w:val="24"/>
            <w:lang w:val="tr-TR"/>
          </w:rPr>
          <w:t>http://ec.europa.eu/programmes/erasmus-plus/tools/distance_en.htm</w:t>
        </w:r>
      </w:hyperlink>
    </w:p>
    <w:p w:rsidR="00CE6E90" w:rsidRPr="00CE6E90" w:rsidRDefault="00CE6E90" w:rsidP="00493636">
      <w:pPr>
        <w:rPr>
          <w:rFonts w:ascii="Times New Roman" w:hAnsi="Times New Roman" w:cs="Times New Roman"/>
          <w:sz w:val="24"/>
          <w:szCs w:val="24"/>
          <w:lang w:val="tr-TR"/>
        </w:rPr>
      </w:pPr>
      <w:r w:rsidRPr="00CE6E90">
        <w:rPr>
          <w:rFonts w:ascii="Times New Roman" w:hAnsi="Times New Roman" w:cs="Times New Roman"/>
          <w:sz w:val="24"/>
          <w:szCs w:val="24"/>
          <w:lang w:val="tr-TR"/>
        </w:rPr>
        <w:t>Mesafe hesaplayıcısı aracılığı ile personelin yerleşik olduğu yerden, faaliyet yerine kadar olan 2 nokta arasının km değeri tespit edilecek ve aşağıdaki tablo kullanılarak seyahat hibesi hesaplanacaktır. Personelin aktarmalı olarak seyahat etmesi, yukarıda belirtilen mesafe hesaplaması ile varılan mesafeyi etkilemez.</w:t>
      </w:r>
    </w:p>
    <w:tbl>
      <w:tblPr>
        <w:tblStyle w:val="TabloKlavuzu"/>
        <w:tblW w:w="0" w:type="auto"/>
        <w:tblLook w:val="04A0" w:firstRow="1" w:lastRow="0" w:firstColumn="1" w:lastColumn="0" w:noHBand="0" w:noVBand="1"/>
      </w:tblPr>
      <w:tblGrid>
        <w:gridCol w:w="3020"/>
        <w:gridCol w:w="3021"/>
        <w:gridCol w:w="3021"/>
      </w:tblGrid>
      <w:tr w:rsidR="00B44364" w:rsidRPr="000C0546" w:rsidTr="007006C4">
        <w:tc>
          <w:tcPr>
            <w:tcW w:w="3020" w:type="dxa"/>
          </w:tcPr>
          <w:p w:rsidR="00B44364" w:rsidRPr="000C0546" w:rsidRDefault="00B44364" w:rsidP="007006C4">
            <w:pPr>
              <w:pStyle w:val="NormalWeb"/>
              <w:spacing w:before="0" w:beforeAutospacing="0"/>
            </w:pPr>
            <w:r w:rsidRPr="000C0546">
              <w:t>Seyahat Mesafesi</w:t>
            </w:r>
          </w:p>
        </w:tc>
        <w:tc>
          <w:tcPr>
            <w:tcW w:w="3021" w:type="dxa"/>
          </w:tcPr>
          <w:p w:rsidR="00B44364" w:rsidRPr="000C0546" w:rsidRDefault="00B44364" w:rsidP="007006C4">
            <w:pPr>
              <w:pStyle w:val="NormalWeb"/>
              <w:spacing w:before="0" w:beforeAutospacing="0"/>
            </w:pPr>
            <w:r w:rsidRPr="000C0546">
              <w:t>Hibe miktarı (Avro)</w:t>
            </w:r>
          </w:p>
        </w:tc>
        <w:tc>
          <w:tcPr>
            <w:tcW w:w="3021" w:type="dxa"/>
          </w:tcPr>
          <w:p w:rsidR="00B44364" w:rsidRPr="000C0546" w:rsidRDefault="00B44364" w:rsidP="007006C4">
            <w:pPr>
              <w:pStyle w:val="NormalWeb"/>
              <w:spacing w:before="0" w:beforeAutospacing="0"/>
            </w:pPr>
            <w:r w:rsidRPr="000C0546">
              <w:t>Yeşil Seyahat Hibe Tutarı (Avro)</w:t>
            </w:r>
          </w:p>
        </w:tc>
      </w:tr>
      <w:tr w:rsidR="00B44364" w:rsidRPr="000C0546" w:rsidTr="007006C4">
        <w:tc>
          <w:tcPr>
            <w:tcW w:w="3020" w:type="dxa"/>
          </w:tcPr>
          <w:p w:rsidR="00B44364" w:rsidRPr="000C0546" w:rsidRDefault="00B44364" w:rsidP="007006C4">
            <w:pPr>
              <w:pStyle w:val="NormalWeb"/>
              <w:spacing w:before="0" w:beforeAutospacing="0"/>
            </w:pPr>
            <w:r w:rsidRPr="000C0546">
              <w:t>10-99 KM arası</w:t>
            </w:r>
          </w:p>
        </w:tc>
        <w:tc>
          <w:tcPr>
            <w:tcW w:w="3021" w:type="dxa"/>
          </w:tcPr>
          <w:p w:rsidR="00B44364" w:rsidRPr="000C0546" w:rsidRDefault="00B44364" w:rsidP="007006C4">
            <w:pPr>
              <w:pStyle w:val="NormalWeb"/>
              <w:spacing w:before="0" w:beforeAutospacing="0"/>
            </w:pPr>
            <w:r w:rsidRPr="000C0546">
              <w:t>23</w:t>
            </w:r>
          </w:p>
        </w:tc>
        <w:tc>
          <w:tcPr>
            <w:tcW w:w="3021" w:type="dxa"/>
            <w:shd w:val="clear" w:color="auto" w:fill="A8D08D" w:themeFill="accent6" w:themeFillTint="99"/>
          </w:tcPr>
          <w:p w:rsidR="00B44364" w:rsidRPr="000C0546" w:rsidRDefault="00B44364" w:rsidP="007006C4">
            <w:pPr>
              <w:pStyle w:val="NormalWeb"/>
              <w:spacing w:before="0" w:beforeAutospacing="0"/>
            </w:pPr>
          </w:p>
        </w:tc>
      </w:tr>
      <w:tr w:rsidR="00B44364" w:rsidRPr="000C0546" w:rsidTr="007006C4">
        <w:tc>
          <w:tcPr>
            <w:tcW w:w="3020" w:type="dxa"/>
          </w:tcPr>
          <w:p w:rsidR="00B44364" w:rsidRPr="000C0546" w:rsidRDefault="00B44364" w:rsidP="007006C4">
            <w:pPr>
              <w:rPr>
                <w:rFonts w:ascii="Times New Roman" w:hAnsi="Times New Roman" w:cs="Times New Roman"/>
                <w:sz w:val="24"/>
                <w:szCs w:val="24"/>
              </w:rPr>
            </w:pPr>
            <w:r w:rsidRPr="000C0546">
              <w:rPr>
                <w:rFonts w:ascii="Times New Roman" w:hAnsi="Times New Roman" w:cs="Times New Roman"/>
                <w:sz w:val="24"/>
                <w:szCs w:val="24"/>
              </w:rPr>
              <w:t xml:space="preserve">100 - 499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B44364" w:rsidRPr="000C0546" w:rsidRDefault="00B44364" w:rsidP="007006C4">
            <w:pPr>
              <w:pStyle w:val="NormalWeb"/>
              <w:spacing w:before="0" w:beforeAutospacing="0"/>
            </w:pPr>
            <w:r w:rsidRPr="000C0546">
              <w:t>180</w:t>
            </w:r>
          </w:p>
        </w:tc>
        <w:tc>
          <w:tcPr>
            <w:tcW w:w="3021" w:type="dxa"/>
          </w:tcPr>
          <w:p w:rsidR="00B44364" w:rsidRPr="000C0546" w:rsidRDefault="00B44364" w:rsidP="007006C4">
            <w:pPr>
              <w:pStyle w:val="NormalWeb"/>
              <w:spacing w:before="0" w:beforeAutospacing="0"/>
            </w:pPr>
            <w:r w:rsidRPr="000C0546">
              <w:t>210</w:t>
            </w:r>
          </w:p>
        </w:tc>
      </w:tr>
      <w:tr w:rsidR="00B44364" w:rsidRPr="000C0546" w:rsidTr="007006C4">
        <w:tc>
          <w:tcPr>
            <w:tcW w:w="3020" w:type="dxa"/>
          </w:tcPr>
          <w:p w:rsidR="00B44364" w:rsidRPr="000C0546" w:rsidRDefault="00B44364" w:rsidP="007006C4">
            <w:pPr>
              <w:rPr>
                <w:rFonts w:ascii="Times New Roman" w:hAnsi="Times New Roman" w:cs="Times New Roman"/>
                <w:sz w:val="24"/>
                <w:szCs w:val="24"/>
              </w:rPr>
            </w:pPr>
            <w:r w:rsidRPr="000C0546">
              <w:rPr>
                <w:rFonts w:ascii="Times New Roman" w:hAnsi="Times New Roman" w:cs="Times New Roman"/>
                <w:sz w:val="24"/>
                <w:szCs w:val="24"/>
              </w:rPr>
              <w:t xml:space="preserve">500 - 1999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B44364" w:rsidRPr="000C0546" w:rsidRDefault="00B44364" w:rsidP="007006C4">
            <w:pPr>
              <w:pStyle w:val="NormalWeb"/>
              <w:spacing w:before="0" w:beforeAutospacing="0"/>
            </w:pPr>
            <w:r w:rsidRPr="000C0546">
              <w:t>275</w:t>
            </w:r>
          </w:p>
        </w:tc>
        <w:tc>
          <w:tcPr>
            <w:tcW w:w="3021" w:type="dxa"/>
          </w:tcPr>
          <w:p w:rsidR="00B44364" w:rsidRPr="000C0546" w:rsidRDefault="00B44364" w:rsidP="007006C4">
            <w:pPr>
              <w:pStyle w:val="NormalWeb"/>
              <w:spacing w:before="0" w:beforeAutospacing="0"/>
            </w:pPr>
            <w:r w:rsidRPr="000C0546">
              <w:t>320</w:t>
            </w:r>
          </w:p>
        </w:tc>
      </w:tr>
      <w:tr w:rsidR="00B44364" w:rsidRPr="000C0546" w:rsidTr="007006C4">
        <w:tc>
          <w:tcPr>
            <w:tcW w:w="3020" w:type="dxa"/>
          </w:tcPr>
          <w:p w:rsidR="00B44364" w:rsidRPr="000C0546" w:rsidRDefault="00B44364" w:rsidP="007006C4">
            <w:pPr>
              <w:rPr>
                <w:rFonts w:ascii="Times New Roman" w:hAnsi="Times New Roman" w:cs="Times New Roman"/>
                <w:sz w:val="24"/>
                <w:szCs w:val="24"/>
              </w:rPr>
            </w:pPr>
            <w:r w:rsidRPr="000C0546">
              <w:rPr>
                <w:rFonts w:ascii="Times New Roman" w:hAnsi="Times New Roman" w:cs="Times New Roman"/>
                <w:sz w:val="24"/>
                <w:szCs w:val="24"/>
              </w:rPr>
              <w:t xml:space="preserve">2000 - 2999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B44364" w:rsidRPr="000C0546" w:rsidRDefault="00B44364" w:rsidP="007006C4">
            <w:pPr>
              <w:pStyle w:val="NormalWeb"/>
              <w:spacing w:before="0" w:beforeAutospacing="0"/>
            </w:pPr>
            <w:r w:rsidRPr="000C0546">
              <w:t>360</w:t>
            </w:r>
          </w:p>
        </w:tc>
        <w:tc>
          <w:tcPr>
            <w:tcW w:w="3021" w:type="dxa"/>
          </w:tcPr>
          <w:p w:rsidR="00B44364" w:rsidRPr="000C0546" w:rsidRDefault="00B44364" w:rsidP="007006C4">
            <w:pPr>
              <w:pStyle w:val="NormalWeb"/>
              <w:spacing w:before="0" w:beforeAutospacing="0"/>
            </w:pPr>
            <w:r w:rsidRPr="000C0546">
              <w:t>410</w:t>
            </w:r>
          </w:p>
        </w:tc>
      </w:tr>
      <w:tr w:rsidR="00B44364" w:rsidRPr="000C0546" w:rsidTr="007006C4">
        <w:tc>
          <w:tcPr>
            <w:tcW w:w="3020" w:type="dxa"/>
          </w:tcPr>
          <w:p w:rsidR="00B44364" w:rsidRPr="000C0546" w:rsidRDefault="00B44364" w:rsidP="007006C4">
            <w:pPr>
              <w:rPr>
                <w:rFonts w:ascii="Times New Roman" w:hAnsi="Times New Roman" w:cs="Times New Roman"/>
                <w:sz w:val="24"/>
                <w:szCs w:val="24"/>
              </w:rPr>
            </w:pPr>
            <w:r w:rsidRPr="000C0546">
              <w:rPr>
                <w:rFonts w:ascii="Times New Roman" w:hAnsi="Times New Roman" w:cs="Times New Roman"/>
                <w:sz w:val="24"/>
                <w:szCs w:val="24"/>
              </w:rPr>
              <w:t xml:space="preserve">3000 - 3999 KM </w:t>
            </w:r>
            <w:proofErr w:type="spellStart"/>
            <w:r w:rsidRPr="000C0546">
              <w:rPr>
                <w:rFonts w:ascii="Times New Roman" w:hAnsi="Times New Roman" w:cs="Times New Roman"/>
                <w:sz w:val="24"/>
                <w:szCs w:val="24"/>
              </w:rPr>
              <w:t>arası</w:t>
            </w:r>
            <w:proofErr w:type="spellEnd"/>
          </w:p>
        </w:tc>
        <w:tc>
          <w:tcPr>
            <w:tcW w:w="3021" w:type="dxa"/>
          </w:tcPr>
          <w:p w:rsidR="00B44364" w:rsidRPr="000C0546" w:rsidRDefault="00B44364" w:rsidP="007006C4">
            <w:pPr>
              <w:pStyle w:val="NormalWeb"/>
              <w:spacing w:before="0" w:beforeAutospacing="0"/>
            </w:pPr>
            <w:r w:rsidRPr="000C0546">
              <w:t>530</w:t>
            </w:r>
          </w:p>
        </w:tc>
        <w:tc>
          <w:tcPr>
            <w:tcW w:w="3021" w:type="dxa"/>
          </w:tcPr>
          <w:p w:rsidR="00B44364" w:rsidRPr="000C0546" w:rsidRDefault="00B44364" w:rsidP="007006C4">
            <w:pPr>
              <w:pStyle w:val="NormalWeb"/>
              <w:spacing w:before="0" w:beforeAutospacing="0"/>
            </w:pPr>
            <w:r w:rsidRPr="000C0546">
              <w:t>610</w:t>
            </w:r>
          </w:p>
        </w:tc>
      </w:tr>
      <w:tr w:rsidR="00B44364" w:rsidRPr="000C0546" w:rsidTr="007006C4">
        <w:tc>
          <w:tcPr>
            <w:tcW w:w="3020" w:type="dxa"/>
          </w:tcPr>
          <w:p w:rsidR="00B44364" w:rsidRPr="000C0546" w:rsidRDefault="00B44364" w:rsidP="007006C4">
            <w:pPr>
              <w:rPr>
                <w:rFonts w:ascii="Times New Roman" w:hAnsi="Times New Roman" w:cs="Times New Roman"/>
                <w:sz w:val="24"/>
                <w:szCs w:val="24"/>
              </w:rPr>
            </w:pPr>
            <w:r w:rsidRPr="000C0546">
              <w:rPr>
                <w:rFonts w:ascii="Times New Roman" w:hAnsi="Times New Roman" w:cs="Times New Roman"/>
                <w:sz w:val="24"/>
                <w:szCs w:val="24"/>
              </w:rPr>
              <w:t xml:space="preserve">4000 - 7999 KM </w:t>
            </w:r>
            <w:proofErr w:type="spellStart"/>
            <w:r w:rsidRPr="000C0546">
              <w:rPr>
                <w:rFonts w:ascii="Times New Roman" w:hAnsi="Times New Roman" w:cs="Times New Roman"/>
                <w:sz w:val="24"/>
                <w:szCs w:val="24"/>
              </w:rPr>
              <w:t>arası</w:t>
            </w:r>
            <w:proofErr w:type="spellEnd"/>
            <w:r w:rsidRPr="000C0546">
              <w:rPr>
                <w:rFonts w:ascii="Times New Roman" w:hAnsi="Times New Roman" w:cs="Times New Roman"/>
                <w:sz w:val="24"/>
                <w:szCs w:val="24"/>
              </w:rPr>
              <w:t xml:space="preserve"> </w:t>
            </w:r>
          </w:p>
        </w:tc>
        <w:tc>
          <w:tcPr>
            <w:tcW w:w="3021" w:type="dxa"/>
          </w:tcPr>
          <w:p w:rsidR="00B44364" w:rsidRPr="000C0546" w:rsidRDefault="00B44364" w:rsidP="007006C4">
            <w:pPr>
              <w:pStyle w:val="NormalWeb"/>
              <w:spacing w:before="0" w:beforeAutospacing="0"/>
            </w:pPr>
            <w:r w:rsidRPr="000C0546">
              <w:t>820</w:t>
            </w:r>
          </w:p>
        </w:tc>
        <w:tc>
          <w:tcPr>
            <w:tcW w:w="3021" w:type="dxa"/>
            <w:shd w:val="clear" w:color="auto" w:fill="A8D08D" w:themeFill="accent6" w:themeFillTint="99"/>
          </w:tcPr>
          <w:p w:rsidR="00B44364" w:rsidRPr="000C0546" w:rsidRDefault="00B44364" w:rsidP="007006C4">
            <w:pPr>
              <w:pStyle w:val="NormalWeb"/>
              <w:spacing w:before="0" w:beforeAutospacing="0"/>
            </w:pPr>
          </w:p>
        </w:tc>
      </w:tr>
      <w:tr w:rsidR="00B44364" w:rsidRPr="000C0546" w:rsidTr="007006C4">
        <w:tc>
          <w:tcPr>
            <w:tcW w:w="3020" w:type="dxa"/>
          </w:tcPr>
          <w:p w:rsidR="00B44364" w:rsidRPr="000C0546" w:rsidRDefault="00B44364" w:rsidP="007006C4">
            <w:pPr>
              <w:rPr>
                <w:rFonts w:ascii="Times New Roman" w:hAnsi="Times New Roman" w:cs="Times New Roman"/>
                <w:sz w:val="24"/>
                <w:szCs w:val="24"/>
              </w:rPr>
            </w:pPr>
            <w:r w:rsidRPr="000C0546">
              <w:rPr>
                <w:rFonts w:ascii="Times New Roman" w:hAnsi="Times New Roman" w:cs="Times New Roman"/>
                <w:sz w:val="24"/>
                <w:szCs w:val="24"/>
              </w:rPr>
              <w:t xml:space="preserve">8000 KM </w:t>
            </w:r>
            <w:proofErr w:type="spellStart"/>
            <w:r w:rsidRPr="000C0546">
              <w:rPr>
                <w:rFonts w:ascii="Times New Roman" w:hAnsi="Times New Roman" w:cs="Times New Roman"/>
                <w:sz w:val="24"/>
                <w:szCs w:val="24"/>
              </w:rPr>
              <w:t>ve</w:t>
            </w:r>
            <w:proofErr w:type="spellEnd"/>
            <w:r w:rsidRPr="000C0546">
              <w:rPr>
                <w:rFonts w:ascii="Times New Roman" w:hAnsi="Times New Roman" w:cs="Times New Roman"/>
                <w:sz w:val="24"/>
                <w:szCs w:val="24"/>
              </w:rPr>
              <w:t xml:space="preserve"> </w:t>
            </w:r>
            <w:proofErr w:type="spellStart"/>
            <w:r w:rsidRPr="000C0546">
              <w:rPr>
                <w:rFonts w:ascii="Times New Roman" w:hAnsi="Times New Roman" w:cs="Times New Roman"/>
                <w:sz w:val="24"/>
                <w:szCs w:val="24"/>
              </w:rPr>
              <w:t>üzeri</w:t>
            </w:r>
            <w:proofErr w:type="spellEnd"/>
          </w:p>
        </w:tc>
        <w:tc>
          <w:tcPr>
            <w:tcW w:w="3021" w:type="dxa"/>
          </w:tcPr>
          <w:p w:rsidR="00B44364" w:rsidRPr="000C0546" w:rsidRDefault="00B44364" w:rsidP="007006C4">
            <w:pPr>
              <w:pStyle w:val="NormalWeb"/>
              <w:spacing w:before="0" w:beforeAutospacing="0"/>
            </w:pPr>
            <w:r w:rsidRPr="000C0546">
              <w:t>1.500</w:t>
            </w:r>
          </w:p>
        </w:tc>
        <w:tc>
          <w:tcPr>
            <w:tcW w:w="3021" w:type="dxa"/>
            <w:shd w:val="clear" w:color="auto" w:fill="A8D08D" w:themeFill="accent6" w:themeFillTint="99"/>
          </w:tcPr>
          <w:p w:rsidR="00B44364" w:rsidRPr="000C0546" w:rsidRDefault="00B44364" w:rsidP="007006C4">
            <w:pPr>
              <w:pStyle w:val="NormalWeb"/>
              <w:spacing w:before="0" w:beforeAutospacing="0"/>
            </w:pPr>
          </w:p>
        </w:tc>
      </w:tr>
    </w:tbl>
    <w:p w:rsidR="00CE6E90" w:rsidRDefault="00CE6E90" w:rsidP="00493636">
      <w:pPr>
        <w:rPr>
          <w:rFonts w:ascii="Times New Roman" w:hAnsi="Times New Roman" w:cs="Times New Roman"/>
          <w:sz w:val="24"/>
          <w:szCs w:val="24"/>
          <w:lang w:val="tr-TR"/>
        </w:rPr>
      </w:pPr>
    </w:p>
    <w:p w:rsidR="00C27BEC" w:rsidRPr="00C27BEC" w:rsidRDefault="00C27BEC" w:rsidP="00C27BEC">
      <w:pPr>
        <w:jc w:val="both"/>
        <w:rPr>
          <w:rFonts w:ascii="Times New Roman" w:hAnsi="Times New Roman" w:cs="Times New Roman"/>
          <w:sz w:val="28"/>
          <w:szCs w:val="24"/>
          <w:lang w:val="tr-TR"/>
        </w:rPr>
      </w:pPr>
      <w:proofErr w:type="spellStart"/>
      <w:r w:rsidRPr="00C27BEC">
        <w:rPr>
          <w:rFonts w:ascii="Times New Roman" w:hAnsi="Times New Roman" w:cs="Times New Roman"/>
          <w:sz w:val="24"/>
        </w:rPr>
        <w:lastRenderedPageBreak/>
        <w:t>Seyahatin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başlangıç</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noktasının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gönderen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kuruluşun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bulunduğu</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faaliyetin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gerçekleştirildiği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yerin</w:t>
      </w:r>
      <w:proofErr w:type="spellEnd"/>
      <w:r w:rsidRPr="00C27BEC">
        <w:rPr>
          <w:rFonts w:ascii="Times New Roman" w:hAnsi="Times New Roman" w:cs="Times New Roman"/>
          <w:sz w:val="24"/>
        </w:rPr>
        <w:t xml:space="preserve"> de </w:t>
      </w:r>
      <w:proofErr w:type="spellStart"/>
      <w:proofErr w:type="gramStart"/>
      <w:r w:rsidRPr="00C27BEC">
        <w:rPr>
          <w:rFonts w:ascii="Times New Roman" w:hAnsi="Times New Roman" w:cs="Times New Roman"/>
          <w:sz w:val="24"/>
        </w:rPr>
        <w:t>ev</w:t>
      </w:r>
      <w:proofErr w:type="spellEnd"/>
      <w:proofErr w:type="gram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sahibi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kuruluşun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bulunduğu</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yer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olduğu</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varsayılır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Seyahat</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başlangıç</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noktasının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gönderen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kurumun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bulunduğu</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şehirden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farklı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şehir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olması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ya</w:t>
      </w:r>
      <w:proofErr w:type="spellEnd"/>
      <w:r w:rsidRPr="00C27BEC">
        <w:rPr>
          <w:rFonts w:ascii="Times New Roman" w:hAnsi="Times New Roman" w:cs="Times New Roman"/>
          <w:sz w:val="24"/>
        </w:rPr>
        <w:t xml:space="preserve"> da </w:t>
      </w:r>
      <w:proofErr w:type="spellStart"/>
      <w:r w:rsidRPr="00C27BEC">
        <w:rPr>
          <w:rFonts w:ascii="Times New Roman" w:hAnsi="Times New Roman" w:cs="Times New Roman"/>
          <w:sz w:val="24"/>
        </w:rPr>
        <w:t>faaliyetin</w:t>
      </w:r>
      <w:proofErr w:type="spellEnd"/>
      <w:r w:rsidRPr="00C27BEC">
        <w:rPr>
          <w:rFonts w:ascii="Times New Roman" w:hAnsi="Times New Roman" w:cs="Times New Roman"/>
          <w:sz w:val="24"/>
        </w:rPr>
        <w:t xml:space="preserve"> </w:t>
      </w:r>
      <w:proofErr w:type="spellStart"/>
      <w:proofErr w:type="gramStart"/>
      <w:r w:rsidRPr="00C27BEC">
        <w:rPr>
          <w:rFonts w:ascii="Times New Roman" w:hAnsi="Times New Roman" w:cs="Times New Roman"/>
          <w:sz w:val="24"/>
        </w:rPr>
        <w:t>ev</w:t>
      </w:r>
      <w:proofErr w:type="spellEnd"/>
      <w:proofErr w:type="gram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sahibi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kurumun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yerleşik</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olduğu</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şehirden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başka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şehirde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gerçekleşiyor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olması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halinde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değişiklik</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seyahatin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farklı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mesafe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bandına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girmesine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yol</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açıyorsa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seyahat</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faturaları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istenir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ve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gerçekleşen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mesafe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bandına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göre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hibe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verilir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Farklı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başlangıç</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noktası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ya</w:t>
      </w:r>
      <w:proofErr w:type="spellEnd"/>
      <w:r w:rsidRPr="00C27BEC">
        <w:rPr>
          <w:rFonts w:ascii="Times New Roman" w:hAnsi="Times New Roman" w:cs="Times New Roman"/>
          <w:sz w:val="24"/>
        </w:rPr>
        <w:t xml:space="preserve"> da </w:t>
      </w:r>
      <w:proofErr w:type="spellStart"/>
      <w:r w:rsidRPr="00C27BEC">
        <w:rPr>
          <w:rFonts w:ascii="Times New Roman" w:hAnsi="Times New Roman" w:cs="Times New Roman"/>
          <w:sz w:val="24"/>
        </w:rPr>
        <w:t>faaliyet</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yerinin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rapor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edilmesi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halinde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bu</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farklılığın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sebebi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raporda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belirtilir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olası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denetimlerde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sunulmak</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üzere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seyahat</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başlangıç</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ve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bitiş</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noktalarını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gösteren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belgeler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ve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faturalar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personel</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dosyasında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muhafaza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edilir</w:t>
      </w:r>
      <w:proofErr w:type="spellEnd"/>
      <w:r w:rsidRPr="00C27BEC">
        <w:rPr>
          <w:rFonts w:ascii="Times New Roman" w:hAnsi="Times New Roman" w:cs="Times New Roman"/>
          <w:sz w:val="24"/>
        </w:rPr>
        <w:t>.</w:t>
      </w:r>
    </w:p>
    <w:p w:rsidR="00CE6E90" w:rsidRPr="00F766C8" w:rsidRDefault="00CE6E90" w:rsidP="00493636">
      <w:pPr>
        <w:rPr>
          <w:rFonts w:ascii="Times New Roman" w:hAnsi="Times New Roman" w:cs="Times New Roman"/>
          <w:b/>
          <w:sz w:val="24"/>
          <w:szCs w:val="24"/>
          <w:lang w:val="tr-TR"/>
        </w:rPr>
      </w:pPr>
      <w:r w:rsidRPr="00F766C8">
        <w:rPr>
          <w:rFonts w:ascii="Times New Roman" w:hAnsi="Times New Roman" w:cs="Times New Roman"/>
          <w:b/>
          <w:sz w:val="24"/>
          <w:szCs w:val="24"/>
          <w:lang w:val="tr-TR"/>
        </w:rPr>
        <w:t>Ödemede Kesinti Yapılması</w:t>
      </w:r>
    </w:p>
    <w:p w:rsidR="00C27BEC" w:rsidRPr="00C27BEC" w:rsidRDefault="00CE6E90" w:rsidP="00B44364">
      <w:pPr>
        <w:jc w:val="both"/>
        <w:rPr>
          <w:rFonts w:ascii="Times New Roman" w:hAnsi="Times New Roman" w:cs="Times New Roman"/>
          <w:sz w:val="24"/>
          <w:szCs w:val="24"/>
          <w:lang w:val="tr-TR"/>
        </w:rPr>
      </w:pPr>
      <w:r w:rsidRPr="00C27BEC">
        <w:rPr>
          <w:rFonts w:ascii="Times New Roman" w:hAnsi="Times New Roman" w:cs="Times New Roman"/>
          <w:sz w:val="24"/>
          <w:szCs w:val="24"/>
          <w:lang w:val="tr-TR"/>
        </w:rPr>
        <w:t>Faal</w:t>
      </w:r>
      <w:r w:rsidR="001A56D1" w:rsidRPr="00C27BEC">
        <w:rPr>
          <w:rFonts w:ascii="Times New Roman" w:hAnsi="Times New Roman" w:cs="Times New Roman"/>
          <w:sz w:val="24"/>
          <w:szCs w:val="24"/>
          <w:lang w:val="tr-TR"/>
        </w:rPr>
        <w:t>iyeti tamamlamasının ardından 5</w:t>
      </w:r>
      <w:r w:rsidRPr="00C27BEC">
        <w:rPr>
          <w:rFonts w:ascii="Times New Roman" w:hAnsi="Times New Roman" w:cs="Times New Roman"/>
          <w:sz w:val="24"/>
          <w:szCs w:val="24"/>
          <w:lang w:val="tr-TR"/>
        </w:rPr>
        <w:t xml:space="preserve"> iş günü içerisinde belgelerini ofi</w:t>
      </w:r>
      <w:r w:rsidR="001A56D1" w:rsidRPr="00C27BEC">
        <w:rPr>
          <w:rFonts w:ascii="Times New Roman" w:hAnsi="Times New Roman" w:cs="Times New Roman"/>
          <w:sz w:val="24"/>
          <w:szCs w:val="24"/>
          <w:lang w:val="tr-TR"/>
        </w:rPr>
        <w:t>se teslim etmeyen personelden hibe geri ödemesi istenir</w:t>
      </w:r>
      <w:r w:rsidRPr="00C27BEC">
        <w:rPr>
          <w:rFonts w:ascii="Times New Roman" w:hAnsi="Times New Roman" w:cs="Times New Roman"/>
          <w:sz w:val="24"/>
          <w:szCs w:val="24"/>
          <w:lang w:val="tr-TR"/>
        </w:rPr>
        <w:t xml:space="preserve">. </w:t>
      </w:r>
      <w:proofErr w:type="spellStart"/>
      <w:r w:rsidR="00C27BEC" w:rsidRPr="00C27BEC">
        <w:rPr>
          <w:rFonts w:ascii="Times New Roman" w:hAnsi="Times New Roman" w:cs="Times New Roman"/>
          <w:sz w:val="24"/>
          <w:szCs w:val="24"/>
        </w:rPr>
        <w:t>Hareketliliğe</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katılımı</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kanıtlayan</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belgelerin</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teslim</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edilmemesi</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durumunda</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katılım</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sertifikası</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hareketlilik</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geçersiz</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sayılır</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ve</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personele</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hibe</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ödenmez</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başlangıçta</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ödenen</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hibe</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tahsil</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edilir</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Ayrıca</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planlanandan</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eksik</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gerçekleşen</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ya</w:t>
      </w:r>
      <w:proofErr w:type="spellEnd"/>
      <w:r w:rsidR="00C27BEC" w:rsidRPr="00C27BEC">
        <w:rPr>
          <w:rFonts w:ascii="Times New Roman" w:hAnsi="Times New Roman" w:cs="Times New Roman"/>
          <w:sz w:val="24"/>
          <w:szCs w:val="24"/>
        </w:rPr>
        <w:t xml:space="preserve"> da </w:t>
      </w:r>
      <w:proofErr w:type="spellStart"/>
      <w:r w:rsidR="00C27BEC" w:rsidRPr="00C27BEC">
        <w:rPr>
          <w:rFonts w:ascii="Times New Roman" w:hAnsi="Times New Roman" w:cs="Times New Roman"/>
          <w:sz w:val="24"/>
          <w:szCs w:val="24"/>
        </w:rPr>
        <w:t>uygun</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olmayan</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faaliyetlere</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ilişkin</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olarak</w:t>
      </w:r>
      <w:proofErr w:type="spellEnd"/>
      <w:r w:rsidR="00C27BEC" w:rsidRPr="00C27BEC">
        <w:rPr>
          <w:rFonts w:ascii="Times New Roman" w:hAnsi="Times New Roman" w:cs="Times New Roman"/>
          <w:sz w:val="24"/>
          <w:szCs w:val="24"/>
        </w:rPr>
        <w:t xml:space="preserve"> da </w:t>
      </w:r>
      <w:proofErr w:type="spellStart"/>
      <w:r w:rsidR="00C27BEC" w:rsidRPr="00C27BEC">
        <w:rPr>
          <w:rFonts w:ascii="Times New Roman" w:hAnsi="Times New Roman" w:cs="Times New Roman"/>
          <w:sz w:val="24"/>
          <w:szCs w:val="24"/>
        </w:rPr>
        <w:t>hibe</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kesintisi</w:t>
      </w:r>
      <w:proofErr w:type="spellEnd"/>
      <w:r w:rsidR="00C27BEC" w:rsidRPr="00C27BEC">
        <w:rPr>
          <w:rFonts w:ascii="Times New Roman" w:hAnsi="Times New Roman" w:cs="Times New Roman"/>
          <w:sz w:val="24"/>
          <w:szCs w:val="24"/>
        </w:rPr>
        <w:t xml:space="preserve"> </w:t>
      </w:r>
      <w:proofErr w:type="spellStart"/>
      <w:r w:rsidR="00C27BEC" w:rsidRPr="00C27BEC">
        <w:rPr>
          <w:rFonts w:ascii="Times New Roman" w:hAnsi="Times New Roman" w:cs="Times New Roman"/>
          <w:sz w:val="24"/>
          <w:szCs w:val="24"/>
        </w:rPr>
        <w:t>yapılır</w:t>
      </w:r>
      <w:proofErr w:type="spellEnd"/>
      <w:r w:rsidR="00C27BEC" w:rsidRPr="00C27BEC">
        <w:rPr>
          <w:rFonts w:ascii="Times New Roman" w:hAnsi="Times New Roman" w:cs="Times New Roman"/>
          <w:sz w:val="24"/>
          <w:szCs w:val="24"/>
        </w:rPr>
        <w:t xml:space="preserve">. </w:t>
      </w:r>
    </w:p>
    <w:p w:rsidR="00CE6E90" w:rsidRPr="00F766C8" w:rsidRDefault="00CE6E90" w:rsidP="00B44364">
      <w:pPr>
        <w:jc w:val="both"/>
        <w:rPr>
          <w:rFonts w:ascii="Times New Roman" w:hAnsi="Times New Roman" w:cs="Times New Roman"/>
          <w:b/>
          <w:sz w:val="24"/>
          <w:szCs w:val="24"/>
          <w:lang w:val="tr-TR"/>
        </w:rPr>
      </w:pPr>
      <w:r w:rsidRPr="00F766C8">
        <w:rPr>
          <w:rFonts w:ascii="Times New Roman" w:hAnsi="Times New Roman" w:cs="Times New Roman"/>
          <w:b/>
          <w:sz w:val="24"/>
          <w:szCs w:val="24"/>
          <w:lang w:val="tr-TR"/>
        </w:rPr>
        <w:t xml:space="preserve">Faaliyetten </w:t>
      </w:r>
      <w:proofErr w:type="spellStart"/>
      <w:r w:rsidRPr="00F766C8">
        <w:rPr>
          <w:rFonts w:ascii="Times New Roman" w:hAnsi="Times New Roman" w:cs="Times New Roman"/>
          <w:b/>
          <w:sz w:val="24"/>
          <w:szCs w:val="24"/>
          <w:lang w:val="tr-TR"/>
        </w:rPr>
        <w:t>Hibesiz</w:t>
      </w:r>
      <w:proofErr w:type="spellEnd"/>
      <w:r w:rsidRPr="00F766C8">
        <w:rPr>
          <w:rFonts w:ascii="Times New Roman" w:hAnsi="Times New Roman" w:cs="Times New Roman"/>
          <w:b/>
          <w:sz w:val="24"/>
          <w:szCs w:val="24"/>
          <w:lang w:val="tr-TR"/>
        </w:rPr>
        <w:t xml:space="preserve"> Olarak Yararlanma </w:t>
      </w:r>
      <w:proofErr w:type="gramStart"/>
      <w:r w:rsidRPr="00F766C8">
        <w:rPr>
          <w:rFonts w:ascii="Times New Roman" w:hAnsi="Times New Roman" w:cs="Times New Roman"/>
          <w:b/>
          <w:sz w:val="24"/>
          <w:szCs w:val="24"/>
          <w:lang w:val="tr-TR"/>
        </w:rPr>
        <w:t>İmkanı</w:t>
      </w:r>
      <w:proofErr w:type="gramEnd"/>
    </w:p>
    <w:p w:rsidR="00C27BEC" w:rsidRDefault="00C27BEC" w:rsidP="00C27BEC">
      <w:pPr>
        <w:jc w:val="both"/>
        <w:rPr>
          <w:rFonts w:ascii="Times New Roman" w:hAnsi="Times New Roman" w:cs="Times New Roman"/>
          <w:sz w:val="24"/>
          <w:szCs w:val="24"/>
        </w:rPr>
      </w:pPr>
      <w:proofErr w:type="spellStart"/>
      <w:r w:rsidRPr="00C27BEC">
        <w:rPr>
          <w:rFonts w:ascii="Times New Roman" w:hAnsi="Times New Roman" w:cs="Times New Roman"/>
          <w:sz w:val="24"/>
          <w:szCs w:val="24"/>
        </w:rPr>
        <w:t>Personel</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istediği</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takdirde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hibe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almaksızın</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faaliyete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katılabilir</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Faaliyetten</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hibesiz</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faydalanılabilmek</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için</w:t>
      </w:r>
      <w:proofErr w:type="spellEnd"/>
      <w:r w:rsidRPr="00C27BEC">
        <w:rPr>
          <w:rFonts w:ascii="Times New Roman" w:hAnsi="Times New Roman" w:cs="Times New Roman"/>
          <w:sz w:val="24"/>
          <w:szCs w:val="24"/>
        </w:rPr>
        <w:t xml:space="preserve"> de </w:t>
      </w:r>
      <w:proofErr w:type="spellStart"/>
      <w:r w:rsidRPr="00C27BEC">
        <w:rPr>
          <w:rFonts w:ascii="Times New Roman" w:hAnsi="Times New Roman" w:cs="Times New Roman"/>
          <w:sz w:val="24"/>
          <w:szCs w:val="24"/>
        </w:rPr>
        <w:t>başvuru</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yapılması</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ve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başvurunun</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diğer</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başvurularla</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beraber</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değerlendirmeye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tabi</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tutulması</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gerekmektedir</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Hibesiz</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personelin</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farkı</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personelin</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bütçe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hesaplamalarına</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dâhil</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edilmemesi</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ve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kendisine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ödeme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yapılmamasıdır</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Hibe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alınmaması</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personelin</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seçim</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sürecine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dâhi</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olmamasına</w:t>
      </w:r>
      <w:proofErr w:type="spellEnd"/>
      <w:r>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gerekçe</w:t>
      </w:r>
      <w:proofErr w:type="spellEnd"/>
      <w:r w:rsidRPr="00C27BEC">
        <w:rPr>
          <w:rFonts w:ascii="Times New Roman" w:hAnsi="Times New Roman" w:cs="Times New Roman"/>
          <w:sz w:val="24"/>
          <w:szCs w:val="24"/>
        </w:rPr>
        <w:t xml:space="preserve"> </w:t>
      </w:r>
      <w:proofErr w:type="spellStart"/>
      <w:r w:rsidRPr="00C27BEC">
        <w:rPr>
          <w:rFonts w:ascii="Times New Roman" w:hAnsi="Times New Roman" w:cs="Times New Roman"/>
          <w:sz w:val="24"/>
          <w:szCs w:val="24"/>
        </w:rPr>
        <w:t>değildir</w:t>
      </w:r>
      <w:proofErr w:type="spellEnd"/>
      <w:r w:rsidRPr="00C27BEC">
        <w:rPr>
          <w:rFonts w:ascii="Times New Roman" w:hAnsi="Times New Roman" w:cs="Times New Roman"/>
          <w:sz w:val="24"/>
          <w:szCs w:val="24"/>
        </w:rPr>
        <w:t>.</w:t>
      </w:r>
    </w:p>
    <w:p w:rsidR="00C27BEC" w:rsidRDefault="00C27BEC" w:rsidP="00C27BEC">
      <w:pPr>
        <w:jc w:val="both"/>
        <w:rPr>
          <w:rFonts w:ascii="Times New Roman" w:hAnsi="Times New Roman" w:cs="Times New Roman"/>
          <w:b/>
          <w:sz w:val="24"/>
          <w:szCs w:val="24"/>
        </w:rPr>
      </w:pPr>
      <w:proofErr w:type="spellStart"/>
      <w:r w:rsidRPr="00C27BEC">
        <w:rPr>
          <w:rFonts w:ascii="Times New Roman" w:hAnsi="Times New Roman" w:cs="Times New Roman"/>
          <w:b/>
          <w:sz w:val="24"/>
          <w:szCs w:val="24"/>
        </w:rPr>
        <w:t>Planlanan</w:t>
      </w:r>
      <w:proofErr w:type="spellEnd"/>
      <w:r w:rsidRPr="00C27BEC">
        <w:rPr>
          <w:rFonts w:ascii="Times New Roman" w:hAnsi="Times New Roman" w:cs="Times New Roman"/>
          <w:b/>
          <w:sz w:val="24"/>
          <w:szCs w:val="24"/>
        </w:rPr>
        <w:t xml:space="preserve"> </w:t>
      </w:r>
      <w:proofErr w:type="spellStart"/>
      <w:r w:rsidRPr="00C27BEC">
        <w:rPr>
          <w:rFonts w:ascii="Times New Roman" w:hAnsi="Times New Roman" w:cs="Times New Roman"/>
          <w:b/>
          <w:sz w:val="24"/>
          <w:szCs w:val="24"/>
        </w:rPr>
        <w:t>Faaliyet</w:t>
      </w:r>
      <w:proofErr w:type="spellEnd"/>
      <w:r w:rsidRPr="00C27BEC">
        <w:rPr>
          <w:rFonts w:ascii="Times New Roman" w:hAnsi="Times New Roman" w:cs="Times New Roman"/>
          <w:b/>
          <w:sz w:val="24"/>
          <w:szCs w:val="24"/>
        </w:rPr>
        <w:t xml:space="preserve"> </w:t>
      </w:r>
      <w:proofErr w:type="spellStart"/>
      <w:r w:rsidRPr="00C27BEC">
        <w:rPr>
          <w:rFonts w:ascii="Times New Roman" w:hAnsi="Times New Roman" w:cs="Times New Roman"/>
          <w:b/>
          <w:sz w:val="24"/>
          <w:szCs w:val="24"/>
        </w:rPr>
        <w:t>Dönemi</w:t>
      </w:r>
      <w:proofErr w:type="spellEnd"/>
      <w:r w:rsidRPr="00C27BEC">
        <w:rPr>
          <w:rFonts w:ascii="Times New Roman" w:hAnsi="Times New Roman" w:cs="Times New Roman"/>
          <w:b/>
          <w:sz w:val="24"/>
          <w:szCs w:val="24"/>
        </w:rPr>
        <w:t xml:space="preserve"> </w:t>
      </w:r>
      <w:proofErr w:type="spellStart"/>
      <w:r w:rsidRPr="00C27BEC">
        <w:rPr>
          <w:rFonts w:ascii="Times New Roman" w:hAnsi="Times New Roman" w:cs="Times New Roman"/>
          <w:b/>
          <w:sz w:val="24"/>
          <w:szCs w:val="24"/>
        </w:rPr>
        <w:t>Tamamlanmadan</w:t>
      </w:r>
      <w:proofErr w:type="spellEnd"/>
      <w:r w:rsidRPr="00C27BEC">
        <w:rPr>
          <w:rFonts w:ascii="Times New Roman" w:hAnsi="Times New Roman" w:cs="Times New Roman"/>
          <w:b/>
          <w:sz w:val="24"/>
          <w:szCs w:val="24"/>
        </w:rPr>
        <w:t xml:space="preserve"> </w:t>
      </w:r>
      <w:proofErr w:type="spellStart"/>
      <w:r w:rsidRPr="00C27BEC">
        <w:rPr>
          <w:rFonts w:ascii="Times New Roman" w:hAnsi="Times New Roman" w:cs="Times New Roman"/>
          <w:b/>
          <w:sz w:val="24"/>
          <w:szCs w:val="24"/>
        </w:rPr>
        <w:t>Dönülmesi</w:t>
      </w:r>
      <w:proofErr w:type="spellEnd"/>
    </w:p>
    <w:p w:rsidR="00C27BEC" w:rsidRPr="00C27BEC" w:rsidRDefault="00C27BEC" w:rsidP="00C27BEC">
      <w:pPr>
        <w:jc w:val="both"/>
        <w:rPr>
          <w:rFonts w:ascii="Times New Roman" w:hAnsi="Times New Roman" w:cs="Times New Roman"/>
          <w:sz w:val="24"/>
        </w:rPr>
      </w:pPr>
      <w:proofErr w:type="spellStart"/>
      <w:r w:rsidRPr="00C27BEC">
        <w:rPr>
          <w:rFonts w:ascii="Times New Roman" w:hAnsi="Times New Roman" w:cs="Times New Roman"/>
          <w:sz w:val="24"/>
        </w:rPr>
        <w:t>Hareketlilik</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süresinin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mücbir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sebebe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bağlı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olmaksızın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asgari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sürenin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altında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gerçekleştirilmesi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durumunda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söz</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konusu</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hareketlilik</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geçersiz</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sayılır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ve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hibe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ödemesi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yapılmaz</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Ancak</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Yararlanıcı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Modülüne</w:t>
      </w:r>
      <w:proofErr w:type="spellEnd"/>
      <w:r w:rsidRPr="00C27BEC">
        <w:rPr>
          <w:rFonts w:ascii="Times New Roman" w:hAnsi="Times New Roman" w:cs="Times New Roman"/>
          <w:sz w:val="24"/>
        </w:rPr>
        <w:t xml:space="preserve"> (BM) </w:t>
      </w:r>
      <w:proofErr w:type="spellStart"/>
      <w:r w:rsidRPr="00C27BEC">
        <w:rPr>
          <w:rFonts w:ascii="Times New Roman" w:hAnsi="Times New Roman" w:cs="Times New Roman"/>
          <w:sz w:val="24"/>
        </w:rPr>
        <w:t>bu</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personel</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için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giriş</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yapılır</w:t>
      </w:r>
      <w:proofErr w:type="spellEnd"/>
      <w:r w:rsidRPr="00C27BEC">
        <w:rPr>
          <w:rFonts w:ascii="Times New Roman" w:hAnsi="Times New Roman" w:cs="Times New Roman"/>
          <w:sz w:val="24"/>
        </w:rPr>
        <w:t xml:space="preserve">. </w:t>
      </w:r>
    </w:p>
    <w:p w:rsidR="00C27BEC" w:rsidRPr="00C27BEC" w:rsidRDefault="00C27BEC" w:rsidP="00C27BEC">
      <w:pPr>
        <w:jc w:val="both"/>
        <w:rPr>
          <w:rFonts w:ascii="Times New Roman" w:hAnsi="Times New Roman" w:cs="Times New Roman"/>
          <w:sz w:val="24"/>
        </w:rPr>
      </w:pPr>
      <w:proofErr w:type="spellStart"/>
      <w:r w:rsidRPr="00C27BEC">
        <w:rPr>
          <w:rFonts w:ascii="Times New Roman" w:hAnsi="Times New Roman" w:cs="Times New Roman"/>
          <w:sz w:val="24"/>
        </w:rPr>
        <w:t>Personelin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mücbir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sebeplerle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planlanan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hareketlilik</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faaliyeti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döneminden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erken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dönmesi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durumunda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personelin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yurtdışında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kaldığı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süre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karşılığı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gündelik</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hibesi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ile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mesafe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hesaplayıcıya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göre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miktarı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personele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verilir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Kalınan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süre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karşılığı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için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hesaplanan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hibeden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fazla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ödeme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yapılmışsa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fazla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miktarın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iadesi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istenir</w:t>
      </w:r>
      <w:proofErr w:type="spellEnd"/>
      <w:r w:rsidRPr="00C27BEC">
        <w:rPr>
          <w:rFonts w:ascii="Times New Roman" w:hAnsi="Times New Roman" w:cs="Times New Roman"/>
          <w:sz w:val="24"/>
        </w:rPr>
        <w:t xml:space="preserve">. </w:t>
      </w:r>
    </w:p>
    <w:p w:rsidR="00C27BEC" w:rsidRPr="00C27BEC" w:rsidRDefault="00C27BEC" w:rsidP="00C27BEC">
      <w:pPr>
        <w:jc w:val="both"/>
        <w:rPr>
          <w:rFonts w:ascii="Times New Roman" w:hAnsi="Times New Roman" w:cs="Times New Roman"/>
          <w:b/>
          <w:sz w:val="28"/>
          <w:szCs w:val="24"/>
        </w:rPr>
      </w:pPr>
      <w:proofErr w:type="spellStart"/>
      <w:r w:rsidRPr="00C27BEC">
        <w:rPr>
          <w:rFonts w:ascii="Times New Roman" w:hAnsi="Times New Roman" w:cs="Times New Roman"/>
          <w:sz w:val="24"/>
        </w:rPr>
        <w:t>Personel</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hareketliliği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için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asgari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süre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olan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iki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günü</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seyahat</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hariç</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mücbir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sebepten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dolayı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tamamlayamayan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personele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aynı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sözleşme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dönemi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içerisinde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tekr</w:t>
      </w:r>
      <w:bookmarkStart w:id="0" w:name="_GoBack"/>
      <w:bookmarkEnd w:id="0"/>
      <w:r w:rsidRPr="00C27BEC">
        <w:rPr>
          <w:rFonts w:ascii="Times New Roman" w:hAnsi="Times New Roman" w:cs="Times New Roman"/>
          <w:sz w:val="24"/>
        </w:rPr>
        <w:t>ar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seçime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tâbi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tutulmaksızın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yeni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bir</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öğretim</w:t>
      </w:r>
      <w:proofErr w:type="spellEnd"/>
      <w:r w:rsidRPr="00C27BEC">
        <w:rPr>
          <w:rFonts w:ascii="Times New Roman" w:hAnsi="Times New Roman" w:cs="Times New Roman"/>
          <w:sz w:val="24"/>
        </w:rPr>
        <w:t>/</w:t>
      </w:r>
      <w:proofErr w:type="spellStart"/>
      <w:r w:rsidRPr="00C27BEC">
        <w:rPr>
          <w:rFonts w:ascii="Times New Roman" w:hAnsi="Times New Roman" w:cs="Times New Roman"/>
          <w:sz w:val="24"/>
        </w:rPr>
        <w:t>eğitim</w:t>
      </w:r>
      <w:proofErr w:type="spellEnd"/>
      <w:r w:rsidRPr="00C27BEC">
        <w:rPr>
          <w:rFonts w:ascii="Times New Roman" w:hAnsi="Times New Roman" w:cs="Times New Roman"/>
          <w:sz w:val="24"/>
        </w:rPr>
        <w:t xml:space="preserve"> </w:t>
      </w:r>
      <w:proofErr w:type="gramStart"/>
      <w:r w:rsidRPr="00C27BEC">
        <w:rPr>
          <w:rFonts w:ascii="Times New Roman" w:hAnsi="Times New Roman" w:cs="Times New Roman"/>
          <w:sz w:val="24"/>
        </w:rPr>
        <w:t>alma</w:t>
      </w:r>
      <w:proofErr w:type="gram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programı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ve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personel</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hareketliliği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sözleşmesi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imzalamak</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suretiyle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aynı</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ya</w:t>
      </w:r>
      <w:proofErr w:type="spellEnd"/>
      <w:r w:rsidRPr="00C27BEC">
        <w:rPr>
          <w:rFonts w:ascii="Times New Roman" w:hAnsi="Times New Roman" w:cs="Times New Roman"/>
          <w:sz w:val="24"/>
        </w:rPr>
        <w:t xml:space="preserve"> da </w:t>
      </w:r>
      <w:proofErr w:type="spellStart"/>
      <w:r w:rsidRPr="00C27BEC">
        <w:rPr>
          <w:rFonts w:ascii="Times New Roman" w:hAnsi="Times New Roman" w:cs="Times New Roman"/>
          <w:sz w:val="24"/>
        </w:rPr>
        <w:t>başka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kurumda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faaliyete</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katılarak</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telafi</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yapmasına</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izin</w:t>
      </w:r>
      <w:proofErr w:type="spellEnd"/>
      <w:r w:rsidRPr="00C27BEC">
        <w:rPr>
          <w:rFonts w:ascii="Times New Roman" w:hAnsi="Times New Roman" w:cs="Times New Roman"/>
          <w:sz w:val="24"/>
        </w:rPr>
        <w:t xml:space="preserve"> </w:t>
      </w:r>
      <w:proofErr w:type="spellStart"/>
      <w:r w:rsidRPr="00C27BEC">
        <w:rPr>
          <w:rFonts w:ascii="Times New Roman" w:hAnsi="Times New Roman" w:cs="Times New Roman"/>
          <w:sz w:val="24"/>
        </w:rPr>
        <w:t>verilir</w:t>
      </w:r>
      <w:proofErr w:type="spellEnd"/>
      <w:r w:rsidRPr="00C27BEC">
        <w:rPr>
          <w:rFonts w:ascii="Times New Roman" w:hAnsi="Times New Roman" w:cs="Times New Roman"/>
          <w:sz w:val="24"/>
        </w:rPr>
        <w:t>.</w:t>
      </w:r>
    </w:p>
    <w:sectPr w:rsidR="00C27BEC" w:rsidRPr="00C27BE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82B17"/>
    <w:multiLevelType w:val="hybridMultilevel"/>
    <w:tmpl w:val="BCD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402D16"/>
    <w:multiLevelType w:val="hybridMultilevel"/>
    <w:tmpl w:val="0316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36"/>
    <w:rsid w:val="00066C64"/>
    <w:rsid w:val="000B41B0"/>
    <w:rsid w:val="000F35B2"/>
    <w:rsid w:val="001A56D1"/>
    <w:rsid w:val="001D24DC"/>
    <w:rsid w:val="002A7105"/>
    <w:rsid w:val="002D24FB"/>
    <w:rsid w:val="00486C28"/>
    <w:rsid w:val="00493636"/>
    <w:rsid w:val="004A5A95"/>
    <w:rsid w:val="00552AFE"/>
    <w:rsid w:val="005776F6"/>
    <w:rsid w:val="00601A36"/>
    <w:rsid w:val="00627D4C"/>
    <w:rsid w:val="00695CB0"/>
    <w:rsid w:val="00726B51"/>
    <w:rsid w:val="00860FB8"/>
    <w:rsid w:val="00A16477"/>
    <w:rsid w:val="00A476E2"/>
    <w:rsid w:val="00A62BFB"/>
    <w:rsid w:val="00B44364"/>
    <w:rsid w:val="00B85113"/>
    <w:rsid w:val="00BF5130"/>
    <w:rsid w:val="00C27BEC"/>
    <w:rsid w:val="00CE6E90"/>
    <w:rsid w:val="00DD7389"/>
    <w:rsid w:val="00E50583"/>
    <w:rsid w:val="00EF59D9"/>
    <w:rsid w:val="00F766C8"/>
    <w:rsid w:val="00F9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5E9D5-6B62-4907-AEE3-AB5AD8AE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01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6E9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E6E90"/>
    <w:rPr>
      <w:color w:val="0563C1" w:themeColor="hyperlink"/>
      <w:u w:val="single"/>
    </w:rPr>
  </w:style>
  <w:style w:type="paragraph" w:styleId="ListeParagraf">
    <w:name w:val="List Paragraph"/>
    <w:basedOn w:val="Normal"/>
    <w:uiPriority w:val="34"/>
    <w:qFormat/>
    <w:rsid w:val="00CE6E90"/>
    <w:pPr>
      <w:ind w:left="720"/>
      <w:contextualSpacing/>
    </w:pPr>
  </w:style>
  <w:style w:type="table" w:customStyle="1" w:styleId="TableNormal">
    <w:name w:val="Table Normal"/>
    <w:uiPriority w:val="2"/>
    <w:semiHidden/>
    <w:unhideWhenUsed/>
    <w:qFormat/>
    <w:rsid w:val="001A56D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56D1"/>
    <w:pPr>
      <w:widowControl w:val="0"/>
      <w:autoSpaceDE w:val="0"/>
      <w:autoSpaceDN w:val="0"/>
      <w:spacing w:after="0" w:line="240" w:lineRule="auto"/>
      <w:ind w:left="107"/>
    </w:pPr>
    <w:rPr>
      <w:rFonts w:ascii="Times New Roman" w:eastAsia="Times New Roman" w:hAnsi="Times New Roman" w:cs="Times New Roman"/>
      <w:lang w:val="tr-TR"/>
    </w:rPr>
  </w:style>
  <w:style w:type="paragraph" w:styleId="NormalWeb">
    <w:name w:val="Normal (Web)"/>
    <w:basedOn w:val="Normal"/>
    <w:uiPriority w:val="99"/>
    <w:unhideWhenUsed/>
    <w:rsid w:val="00B44364"/>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programmes/erasmus-plus/tools/distance_e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1324</Words>
  <Characters>7549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DISOFIS</dc:creator>
  <cp:keywords/>
  <dc:description/>
  <cp:lastModifiedBy>DELL</cp:lastModifiedBy>
  <cp:revision>20</cp:revision>
  <dcterms:created xsi:type="dcterms:W3CDTF">2019-11-18T07:54:00Z</dcterms:created>
  <dcterms:modified xsi:type="dcterms:W3CDTF">2024-12-06T11:46:00Z</dcterms:modified>
</cp:coreProperties>
</file>